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78D8" w:rsidRPr="002E78D8" w:rsidRDefault="002E78D8" w:rsidP="002E78D8">
      <w:pPr>
        <w:pStyle w:val="Textonotapie"/>
        <w:tabs>
          <w:tab w:val="left" w:pos="6379"/>
          <w:tab w:val="left" w:pos="7230"/>
          <w:tab w:val="left" w:pos="8505"/>
        </w:tabs>
        <w:ind w:left="2552" w:right="2126" w:hanging="1276"/>
        <w:jc w:val="both"/>
        <w:rPr>
          <w:rFonts w:ascii="Tahoma" w:hAnsi="Tahoma" w:cs="Tahoma"/>
          <w:i/>
          <w:sz w:val="22"/>
          <w:szCs w:val="22"/>
        </w:rPr>
      </w:pPr>
      <w:r w:rsidRPr="002E78D8">
        <w:rPr>
          <w:rFonts w:ascii="Tahoma" w:hAnsi="Tahoma" w:cs="Tahoma"/>
          <w:b/>
          <w:i/>
          <w:sz w:val="22"/>
          <w:szCs w:val="22"/>
        </w:rPr>
        <w:t xml:space="preserve">Sumilla   : </w:t>
      </w:r>
      <w:r w:rsidRPr="002E78D8">
        <w:rPr>
          <w:rFonts w:ascii="Tahoma" w:hAnsi="Tahoma" w:cs="Tahoma"/>
          <w:b/>
          <w:i/>
          <w:sz w:val="22"/>
          <w:szCs w:val="22"/>
        </w:rPr>
        <w:tab/>
      </w:r>
      <w:r w:rsidRPr="002E78D8">
        <w:rPr>
          <w:rFonts w:ascii="Tahoma" w:hAnsi="Tahoma" w:cs="Tahoma"/>
          <w:i/>
          <w:sz w:val="22"/>
          <w:szCs w:val="22"/>
        </w:rPr>
        <w:t>Las Bases constituyen las reglas del proceso de selección y es en función de ellas que debe efectuarse la calificación y evaluación de las propuestas, conforme a lo dispuesto en el artículo 26º de la Ley de Contrataciones del Estado, la cual señala que lo establecido en las Bases, en la citada Ley y en el Reglamento de la Ley de Contrataciones del Estado, obliga a todos los postores y a la Entidad convocante.</w:t>
      </w:r>
    </w:p>
    <w:p w:rsidR="002E78D8" w:rsidRPr="004929CB" w:rsidRDefault="002E78D8" w:rsidP="002E78D8">
      <w:pPr>
        <w:pStyle w:val="Textonotapie"/>
        <w:tabs>
          <w:tab w:val="left" w:pos="5812"/>
          <w:tab w:val="left" w:pos="5954"/>
          <w:tab w:val="left" w:pos="7230"/>
          <w:tab w:val="left" w:pos="8505"/>
        </w:tabs>
        <w:ind w:left="2552" w:right="2551" w:hanging="1276"/>
        <w:jc w:val="both"/>
        <w:rPr>
          <w:rFonts w:ascii="Tahoma" w:hAnsi="Tahoma" w:cs="Tahoma"/>
          <w:i/>
          <w:sz w:val="21"/>
          <w:szCs w:val="21"/>
        </w:rPr>
      </w:pPr>
    </w:p>
    <w:p w:rsidR="002E78D8" w:rsidRPr="004929CB" w:rsidRDefault="00D01115" w:rsidP="002E78D8">
      <w:pPr>
        <w:pStyle w:val="Textoindependiente3"/>
        <w:tabs>
          <w:tab w:val="left" w:pos="3544"/>
          <w:tab w:val="left" w:pos="7230"/>
          <w:tab w:val="left" w:pos="8505"/>
        </w:tabs>
        <w:spacing w:after="0"/>
        <w:ind w:left="4248"/>
        <w:rPr>
          <w:rFonts w:ascii="Tahoma" w:hAnsi="Tahoma" w:cs="Tahoma"/>
          <w:b/>
          <w:sz w:val="21"/>
          <w:szCs w:val="21"/>
        </w:rPr>
      </w:pPr>
      <w:r>
        <w:rPr>
          <w:rFonts w:ascii="Tahoma" w:hAnsi="Tahoma" w:cs="Tahoma"/>
          <w:b/>
          <w:sz w:val="21"/>
          <w:szCs w:val="21"/>
        </w:rPr>
        <w:t xml:space="preserve">                  </w:t>
      </w:r>
      <w:r w:rsidR="002E78D8" w:rsidRPr="004929CB">
        <w:rPr>
          <w:rFonts w:ascii="Tahoma" w:hAnsi="Tahoma" w:cs="Tahoma"/>
          <w:b/>
          <w:sz w:val="21"/>
          <w:szCs w:val="21"/>
        </w:rPr>
        <w:t xml:space="preserve">Lima, </w:t>
      </w:r>
      <w:r>
        <w:rPr>
          <w:rFonts w:ascii="Tahoma" w:hAnsi="Tahoma" w:cs="Tahoma"/>
          <w:b/>
          <w:sz w:val="21"/>
          <w:szCs w:val="21"/>
        </w:rPr>
        <w:t>07 de Abril de 2011</w:t>
      </w:r>
    </w:p>
    <w:p w:rsidR="002E78D8" w:rsidRPr="004929CB" w:rsidRDefault="002E78D8" w:rsidP="002E78D8">
      <w:pPr>
        <w:pStyle w:val="Textoindependiente"/>
        <w:tabs>
          <w:tab w:val="left" w:pos="540"/>
          <w:tab w:val="left" w:pos="3544"/>
          <w:tab w:val="left" w:pos="7230"/>
          <w:tab w:val="left" w:pos="8505"/>
        </w:tabs>
        <w:rPr>
          <w:rFonts w:cs="Tahoma"/>
          <w:b/>
          <w:sz w:val="21"/>
          <w:szCs w:val="21"/>
          <w:lang w:val="es-PE"/>
        </w:rPr>
      </w:pPr>
    </w:p>
    <w:p w:rsidR="002E78D8" w:rsidRPr="004929CB" w:rsidRDefault="002E78D8" w:rsidP="002E78D8">
      <w:pPr>
        <w:pStyle w:val="Textoindependiente"/>
        <w:tabs>
          <w:tab w:val="left" w:pos="540"/>
          <w:tab w:val="left" w:pos="3544"/>
          <w:tab w:val="left" w:pos="7230"/>
          <w:tab w:val="left" w:pos="8505"/>
        </w:tabs>
        <w:rPr>
          <w:rFonts w:cs="Tahoma"/>
          <w:b/>
          <w:sz w:val="21"/>
          <w:szCs w:val="21"/>
          <w:lang w:val="es-PE"/>
        </w:rPr>
      </w:pPr>
    </w:p>
    <w:p w:rsidR="002E78D8" w:rsidRPr="002E78D8" w:rsidRDefault="002E78D8" w:rsidP="002E78D8">
      <w:pPr>
        <w:tabs>
          <w:tab w:val="left" w:pos="567"/>
        </w:tabs>
        <w:autoSpaceDE w:val="0"/>
        <w:autoSpaceDN w:val="0"/>
        <w:adjustRightInd w:val="0"/>
        <w:ind w:firstLine="567"/>
        <w:jc w:val="both"/>
        <w:rPr>
          <w:rFonts w:ascii="Tahoma" w:hAnsi="Tahoma" w:cs="Tahoma"/>
          <w:sz w:val="22"/>
          <w:szCs w:val="22"/>
        </w:rPr>
      </w:pPr>
      <w:r w:rsidRPr="002E78D8">
        <w:rPr>
          <w:rFonts w:ascii="Tahoma" w:hAnsi="Tahoma" w:cs="Tahoma"/>
          <w:b/>
          <w:sz w:val="22"/>
          <w:szCs w:val="22"/>
        </w:rPr>
        <w:t>Visto</w:t>
      </w:r>
      <w:r w:rsidRPr="002E78D8">
        <w:rPr>
          <w:rFonts w:ascii="Tahoma" w:hAnsi="Tahoma" w:cs="Tahoma"/>
          <w:sz w:val="22"/>
          <w:szCs w:val="22"/>
        </w:rPr>
        <w:t xml:space="preserve"> en sesión de fecha </w:t>
      </w:r>
      <w:r>
        <w:rPr>
          <w:rFonts w:ascii="Tahoma" w:hAnsi="Tahoma" w:cs="Tahoma"/>
          <w:sz w:val="22"/>
          <w:szCs w:val="22"/>
        </w:rPr>
        <w:t>07 de marzo del 2011</w:t>
      </w:r>
      <w:r w:rsidRPr="002E78D8">
        <w:rPr>
          <w:rFonts w:ascii="Tahoma" w:hAnsi="Tahoma" w:cs="Tahoma"/>
          <w:sz w:val="22"/>
          <w:szCs w:val="22"/>
        </w:rPr>
        <w:t xml:space="preserve"> de la Primera Sala del Tribunal de Contrataciones del Estado el Expediente N° </w:t>
      </w:r>
      <w:r>
        <w:rPr>
          <w:rFonts w:ascii="Tahoma" w:hAnsi="Tahoma" w:cs="Tahoma"/>
          <w:sz w:val="22"/>
          <w:szCs w:val="22"/>
        </w:rPr>
        <w:t>120.2011</w:t>
      </w:r>
      <w:r w:rsidRPr="002E78D8">
        <w:rPr>
          <w:rFonts w:ascii="Tahoma" w:hAnsi="Tahoma" w:cs="Tahoma"/>
          <w:sz w:val="22"/>
          <w:szCs w:val="22"/>
        </w:rPr>
        <w:t xml:space="preserve">.TC, sobre el recurso de apelación interpuesto por la empresa </w:t>
      </w:r>
      <w:r w:rsidRPr="006464EC">
        <w:rPr>
          <w:rFonts w:ascii="Tahoma" w:hAnsi="Tahoma" w:cs="Tahoma"/>
          <w:sz w:val="22"/>
          <w:szCs w:val="22"/>
        </w:rPr>
        <w:t>LABORATORIOS BAXTER DEL PERU S.A.</w:t>
      </w:r>
      <w:r w:rsidRPr="002E78D8">
        <w:rPr>
          <w:rFonts w:ascii="Tahoma" w:hAnsi="Tahoma" w:cs="Tahoma"/>
          <w:sz w:val="22"/>
          <w:szCs w:val="22"/>
        </w:rPr>
        <w:t xml:space="preserve"> </w:t>
      </w:r>
      <w:r w:rsidRPr="007E0F4C">
        <w:rPr>
          <w:rFonts w:ascii="Tahoma" w:hAnsi="Tahoma" w:cs="Tahoma"/>
          <w:sz w:val="22"/>
          <w:szCs w:val="22"/>
          <w:lang w:val="es-PE"/>
        </w:rPr>
        <w:t xml:space="preserve">contra </w:t>
      </w:r>
      <w:r>
        <w:rPr>
          <w:rFonts w:ascii="Tahoma" w:hAnsi="Tahoma" w:cs="Tahoma"/>
          <w:sz w:val="22"/>
          <w:szCs w:val="22"/>
          <w:lang w:val="es-PE"/>
        </w:rPr>
        <w:t>la descalificación de su propuesta técnica, así como del acto de otorgamiento de la Buena Pro a favor d</w:t>
      </w:r>
      <w:r w:rsidRPr="007E0F4C">
        <w:rPr>
          <w:rFonts w:ascii="Tahoma" w:hAnsi="Tahoma" w:cs="Tahoma"/>
          <w:sz w:val="22"/>
          <w:szCs w:val="22"/>
          <w:lang w:val="es-PE"/>
        </w:rPr>
        <w:t>e</w:t>
      </w:r>
      <w:r>
        <w:rPr>
          <w:rFonts w:ascii="Tahoma" w:hAnsi="Tahoma" w:cs="Tahoma"/>
          <w:sz w:val="22"/>
          <w:szCs w:val="22"/>
          <w:lang w:val="es-PE"/>
        </w:rPr>
        <w:t xml:space="preserve"> </w:t>
      </w:r>
      <w:r w:rsidRPr="007E0F4C">
        <w:rPr>
          <w:rFonts w:ascii="Tahoma" w:hAnsi="Tahoma" w:cs="Tahoma"/>
          <w:sz w:val="22"/>
          <w:szCs w:val="22"/>
          <w:lang w:val="es-PE"/>
        </w:rPr>
        <w:t>l</w:t>
      </w:r>
      <w:r>
        <w:rPr>
          <w:rFonts w:ascii="Tahoma" w:hAnsi="Tahoma" w:cs="Tahoma"/>
          <w:sz w:val="22"/>
          <w:szCs w:val="22"/>
          <w:lang w:val="es-PE"/>
        </w:rPr>
        <w:t>a empresa</w:t>
      </w:r>
      <w:r w:rsidRPr="007E0F4C">
        <w:rPr>
          <w:rFonts w:ascii="Tahoma" w:hAnsi="Tahoma" w:cs="Tahoma"/>
          <w:sz w:val="22"/>
          <w:szCs w:val="22"/>
          <w:lang w:val="es-PE"/>
        </w:rPr>
        <w:t xml:space="preserve"> </w:t>
      </w:r>
      <w:r>
        <w:rPr>
          <w:rFonts w:ascii="Tahoma" w:hAnsi="Tahoma" w:cs="Tahoma"/>
          <w:color w:val="000000"/>
          <w:sz w:val="22"/>
          <w:szCs w:val="22"/>
        </w:rPr>
        <w:t>FRESENIUS MEDICAL CARE DEL PERU S.A.</w:t>
      </w:r>
      <w:r w:rsidRPr="002E78D8">
        <w:rPr>
          <w:rFonts w:ascii="Tahoma" w:hAnsi="Tahoma" w:cs="Tahoma"/>
          <w:sz w:val="22"/>
          <w:szCs w:val="22"/>
        </w:rPr>
        <w:t>; y atendiendo a los siguientes:</w:t>
      </w:r>
    </w:p>
    <w:p w:rsidR="002E78D8" w:rsidRPr="004929CB" w:rsidRDefault="002E78D8" w:rsidP="002E78D8">
      <w:pPr>
        <w:tabs>
          <w:tab w:val="left" w:pos="3544"/>
          <w:tab w:val="left" w:pos="7230"/>
          <w:tab w:val="left" w:pos="8505"/>
        </w:tabs>
        <w:rPr>
          <w:rFonts w:ascii="Tahoma" w:hAnsi="Tahoma" w:cs="Tahoma"/>
          <w:b/>
          <w:sz w:val="21"/>
          <w:szCs w:val="21"/>
        </w:rPr>
      </w:pPr>
    </w:p>
    <w:p w:rsidR="002E78D8" w:rsidRPr="004929CB" w:rsidRDefault="002E78D8" w:rsidP="002E78D8">
      <w:pPr>
        <w:pStyle w:val="Prrafodelista"/>
        <w:numPr>
          <w:ilvl w:val="0"/>
          <w:numId w:val="10"/>
        </w:numPr>
        <w:tabs>
          <w:tab w:val="left" w:pos="3544"/>
          <w:tab w:val="left" w:pos="7230"/>
          <w:tab w:val="left" w:pos="8505"/>
        </w:tabs>
        <w:ind w:left="567" w:hanging="425"/>
        <w:jc w:val="both"/>
        <w:rPr>
          <w:rFonts w:ascii="Tahoma" w:hAnsi="Tahoma" w:cs="Tahoma"/>
          <w:b/>
          <w:shadow/>
          <w:sz w:val="21"/>
          <w:szCs w:val="21"/>
        </w:rPr>
      </w:pPr>
      <w:r w:rsidRPr="004929CB">
        <w:rPr>
          <w:rFonts w:ascii="Tahoma" w:hAnsi="Tahoma" w:cs="Tahoma"/>
          <w:b/>
          <w:shadow/>
          <w:sz w:val="21"/>
          <w:szCs w:val="21"/>
        </w:rPr>
        <w:t>ANTECEDENTES:</w:t>
      </w:r>
    </w:p>
    <w:p w:rsidR="002E78D8" w:rsidRPr="004929CB" w:rsidRDefault="002E78D8" w:rsidP="002E78D8">
      <w:pPr>
        <w:autoSpaceDE w:val="0"/>
        <w:autoSpaceDN w:val="0"/>
        <w:adjustRightInd w:val="0"/>
        <w:jc w:val="both"/>
        <w:rPr>
          <w:rFonts w:ascii="Tahoma" w:hAnsi="Tahoma" w:cs="Tahoma"/>
          <w:b/>
          <w:bCs/>
          <w:sz w:val="21"/>
          <w:szCs w:val="21"/>
        </w:rPr>
      </w:pPr>
    </w:p>
    <w:p w:rsidR="002E78D8" w:rsidRPr="007E0F4C" w:rsidRDefault="002E78D8" w:rsidP="002E78D8">
      <w:pPr>
        <w:numPr>
          <w:ilvl w:val="0"/>
          <w:numId w:val="3"/>
        </w:numPr>
        <w:tabs>
          <w:tab w:val="clear" w:pos="360"/>
        </w:tabs>
        <w:ind w:left="567" w:hanging="567"/>
        <w:jc w:val="both"/>
        <w:rPr>
          <w:rFonts w:ascii="Tahoma" w:hAnsi="Tahoma" w:cs="Tahoma"/>
          <w:sz w:val="22"/>
          <w:szCs w:val="22"/>
        </w:rPr>
      </w:pPr>
      <w:r>
        <w:rPr>
          <w:rFonts w:ascii="Tahoma" w:hAnsi="Tahoma" w:cs="Tahoma"/>
          <w:sz w:val="22"/>
          <w:szCs w:val="22"/>
        </w:rPr>
        <w:t>El 15 de noviembre</w:t>
      </w:r>
      <w:r w:rsidRPr="007E0F4C">
        <w:rPr>
          <w:rFonts w:ascii="Tahoma" w:hAnsi="Tahoma" w:cs="Tahoma"/>
          <w:sz w:val="22"/>
          <w:szCs w:val="22"/>
        </w:rPr>
        <w:t xml:space="preserve"> de 2010, el </w:t>
      </w:r>
      <w:r w:rsidRPr="008946D1">
        <w:rPr>
          <w:rFonts w:ascii="Tahoma" w:hAnsi="Tahoma" w:cs="Tahoma"/>
          <w:spacing w:val="-3"/>
          <w:sz w:val="22"/>
          <w:szCs w:val="22"/>
        </w:rPr>
        <w:t>SEGURO SOCIAL DE SALUD (ESSALUD) – CENTRO NACIONAL DE SALUD RENAL</w:t>
      </w:r>
      <w:r w:rsidRPr="007E0F4C">
        <w:rPr>
          <w:rFonts w:ascii="Tahoma" w:hAnsi="Tahoma" w:cs="Tahoma"/>
          <w:sz w:val="22"/>
          <w:szCs w:val="22"/>
        </w:rPr>
        <w:t xml:space="preserve">, en adelante </w:t>
      </w:r>
      <w:smartTag w:uri="urn:schemas-microsoft-com:office:smarttags" w:element="PersonName">
        <w:smartTagPr>
          <w:attr w:name="ProductID" w:val="la Entidad"/>
        </w:smartTagPr>
        <w:r w:rsidRPr="007E0F4C">
          <w:rPr>
            <w:rFonts w:ascii="Tahoma" w:hAnsi="Tahoma" w:cs="Tahoma"/>
            <w:sz w:val="22"/>
            <w:szCs w:val="22"/>
          </w:rPr>
          <w:t>la Entidad</w:t>
        </w:r>
      </w:smartTag>
      <w:r w:rsidRPr="007E0F4C">
        <w:rPr>
          <w:rFonts w:ascii="Tahoma" w:hAnsi="Tahoma" w:cs="Tahoma"/>
          <w:sz w:val="22"/>
          <w:szCs w:val="22"/>
        </w:rPr>
        <w:t xml:space="preserve">, convocó </w:t>
      </w:r>
      <w:smartTag w:uri="urn:schemas-microsoft-com:office:smarttags" w:element="PersonName">
        <w:smartTagPr>
          <w:attr w:name="ProductID" w:val="la Licitación Pública"/>
        </w:smartTagPr>
        <w:r w:rsidRPr="007E0F4C">
          <w:rPr>
            <w:rFonts w:ascii="Tahoma" w:hAnsi="Tahoma" w:cs="Tahoma"/>
            <w:sz w:val="22"/>
            <w:szCs w:val="22"/>
          </w:rPr>
          <w:t>la Licit</w:t>
        </w:r>
        <w:r>
          <w:rPr>
            <w:rFonts w:ascii="Tahoma" w:hAnsi="Tahoma" w:cs="Tahoma"/>
            <w:sz w:val="22"/>
            <w:szCs w:val="22"/>
          </w:rPr>
          <w:t>ación Pública</w:t>
        </w:r>
      </w:smartTag>
      <w:r>
        <w:rPr>
          <w:rFonts w:ascii="Tahoma" w:hAnsi="Tahoma" w:cs="Tahoma"/>
          <w:sz w:val="22"/>
          <w:szCs w:val="22"/>
        </w:rPr>
        <w:t xml:space="preserve"> Nº 1095L00011</w:t>
      </w:r>
      <w:r w:rsidRPr="007E0F4C">
        <w:rPr>
          <w:rFonts w:ascii="Tahoma" w:hAnsi="Tahoma" w:cs="Tahoma"/>
          <w:sz w:val="22"/>
          <w:szCs w:val="22"/>
        </w:rPr>
        <w:t>, para la “Adquisición de</w:t>
      </w:r>
      <w:r>
        <w:rPr>
          <w:rFonts w:ascii="Tahoma" w:hAnsi="Tahoma" w:cs="Tahoma"/>
          <w:sz w:val="22"/>
          <w:szCs w:val="22"/>
        </w:rPr>
        <w:t>l Sistema Diálisis Peritoneal Automatizado (DIPAC)</w:t>
      </w:r>
      <w:r w:rsidRPr="007E0F4C">
        <w:rPr>
          <w:rFonts w:ascii="Tahoma" w:hAnsi="Tahoma" w:cs="Tahoma"/>
          <w:sz w:val="22"/>
          <w:szCs w:val="22"/>
        </w:rPr>
        <w:t>”</w:t>
      </w:r>
      <w:r>
        <w:rPr>
          <w:rFonts w:ascii="Tahoma" w:hAnsi="Tahoma" w:cs="Tahoma"/>
          <w:sz w:val="22"/>
          <w:szCs w:val="22"/>
        </w:rPr>
        <w:t>, bajo el sistema de precios unitarios</w:t>
      </w:r>
      <w:r w:rsidRPr="007E0F4C">
        <w:rPr>
          <w:rFonts w:ascii="Tahoma" w:hAnsi="Tahoma" w:cs="Tahoma"/>
          <w:sz w:val="22"/>
          <w:szCs w:val="22"/>
        </w:rPr>
        <w:t>, con un valor referenci</w:t>
      </w:r>
      <w:r>
        <w:rPr>
          <w:rFonts w:ascii="Tahoma" w:hAnsi="Tahoma" w:cs="Tahoma"/>
          <w:sz w:val="22"/>
          <w:szCs w:val="22"/>
        </w:rPr>
        <w:t>al ascendente a S/. 2’345,566.05</w:t>
      </w:r>
      <w:r w:rsidRPr="007E0F4C">
        <w:rPr>
          <w:rFonts w:ascii="Tahoma" w:hAnsi="Tahoma" w:cs="Tahoma"/>
          <w:sz w:val="22"/>
          <w:szCs w:val="22"/>
        </w:rPr>
        <w:t xml:space="preserve"> (Dos millones </w:t>
      </w:r>
      <w:r>
        <w:rPr>
          <w:rFonts w:ascii="Tahoma" w:hAnsi="Tahoma" w:cs="Tahoma"/>
          <w:sz w:val="22"/>
          <w:szCs w:val="22"/>
        </w:rPr>
        <w:t>trescientos cuarenta y cinco mil quinientos sesenta y seis con 05</w:t>
      </w:r>
      <w:r w:rsidRPr="007E0F4C">
        <w:rPr>
          <w:rFonts w:ascii="Tahoma" w:hAnsi="Tahoma" w:cs="Tahoma"/>
          <w:sz w:val="22"/>
          <w:szCs w:val="22"/>
        </w:rPr>
        <w:t>/100 Nuevos Soles)</w:t>
      </w:r>
    </w:p>
    <w:p w:rsidR="002E78D8" w:rsidRPr="007E0F4C" w:rsidRDefault="002E78D8" w:rsidP="002E78D8">
      <w:pPr>
        <w:tabs>
          <w:tab w:val="left" w:pos="567"/>
        </w:tabs>
        <w:ind w:left="567"/>
        <w:jc w:val="both"/>
        <w:rPr>
          <w:rFonts w:ascii="Tahoma" w:hAnsi="Tahoma" w:cs="Tahoma"/>
          <w:sz w:val="22"/>
          <w:szCs w:val="22"/>
          <w:lang w:val="es-PE"/>
        </w:rPr>
      </w:pPr>
    </w:p>
    <w:p w:rsidR="002E78D8" w:rsidRPr="007E0F4C" w:rsidRDefault="002E78D8" w:rsidP="002E78D8">
      <w:pPr>
        <w:numPr>
          <w:ilvl w:val="0"/>
          <w:numId w:val="3"/>
        </w:numPr>
        <w:tabs>
          <w:tab w:val="clear" w:pos="360"/>
        </w:tabs>
        <w:ind w:left="567" w:hanging="567"/>
        <w:jc w:val="both"/>
        <w:rPr>
          <w:rFonts w:ascii="Tahoma" w:hAnsi="Tahoma" w:cs="Tahoma"/>
          <w:sz w:val="22"/>
          <w:szCs w:val="22"/>
        </w:rPr>
      </w:pPr>
      <w:r w:rsidRPr="007E0F4C">
        <w:rPr>
          <w:rFonts w:ascii="Tahoma" w:hAnsi="Tahoma" w:cs="Tahoma"/>
          <w:color w:val="000000"/>
          <w:sz w:val="22"/>
          <w:szCs w:val="22"/>
        </w:rPr>
        <w:t xml:space="preserve">El </w:t>
      </w:r>
      <w:r>
        <w:rPr>
          <w:rFonts w:ascii="Tahoma" w:hAnsi="Tahoma" w:cs="Tahoma"/>
          <w:color w:val="000000"/>
          <w:sz w:val="22"/>
          <w:szCs w:val="22"/>
        </w:rPr>
        <w:t>21 de diciembre</w:t>
      </w:r>
      <w:r w:rsidRPr="007E0F4C">
        <w:rPr>
          <w:rFonts w:ascii="Tahoma" w:hAnsi="Tahoma" w:cs="Tahoma"/>
          <w:color w:val="000000"/>
          <w:sz w:val="22"/>
          <w:szCs w:val="22"/>
        </w:rPr>
        <w:t xml:space="preserve"> de 2010, se llevó a cabo el acto de presentación de pr</w:t>
      </w:r>
      <w:r>
        <w:rPr>
          <w:rFonts w:ascii="Tahoma" w:hAnsi="Tahoma" w:cs="Tahoma"/>
          <w:color w:val="000000"/>
          <w:sz w:val="22"/>
          <w:szCs w:val="22"/>
        </w:rPr>
        <w:t>opuestas</w:t>
      </w:r>
      <w:r w:rsidRPr="007E0F4C">
        <w:rPr>
          <w:rFonts w:ascii="Tahoma" w:hAnsi="Tahoma" w:cs="Tahoma"/>
          <w:color w:val="000000"/>
          <w:sz w:val="22"/>
          <w:szCs w:val="22"/>
        </w:rPr>
        <w:t xml:space="preserve">, </w:t>
      </w:r>
      <w:r>
        <w:rPr>
          <w:rFonts w:ascii="Tahoma" w:hAnsi="Tahoma" w:cs="Tahoma"/>
          <w:color w:val="000000"/>
          <w:sz w:val="22"/>
          <w:szCs w:val="22"/>
        </w:rPr>
        <w:t>presentándose</w:t>
      </w:r>
      <w:r w:rsidRPr="007E0F4C">
        <w:rPr>
          <w:rFonts w:ascii="Tahoma" w:hAnsi="Tahoma" w:cs="Tahoma"/>
          <w:color w:val="000000"/>
          <w:sz w:val="22"/>
          <w:szCs w:val="22"/>
        </w:rPr>
        <w:t xml:space="preserve"> los siguientes postores: a) </w:t>
      </w:r>
      <w:r w:rsidRPr="006464EC">
        <w:rPr>
          <w:rFonts w:ascii="Tahoma" w:hAnsi="Tahoma" w:cs="Tahoma"/>
          <w:sz w:val="22"/>
          <w:szCs w:val="22"/>
        </w:rPr>
        <w:t>LABORATORIOS BAXTER DEL PERU S.A.</w:t>
      </w:r>
      <w:r>
        <w:rPr>
          <w:rFonts w:ascii="Tahoma" w:hAnsi="Tahoma" w:cs="Tahoma"/>
          <w:color w:val="000000"/>
          <w:sz w:val="22"/>
          <w:szCs w:val="22"/>
        </w:rPr>
        <w:t xml:space="preserve"> y</w:t>
      </w:r>
      <w:r w:rsidRPr="007E0F4C">
        <w:rPr>
          <w:rFonts w:ascii="Tahoma" w:hAnsi="Tahoma" w:cs="Tahoma"/>
          <w:color w:val="000000"/>
          <w:sz w:val="22"/>
          <w:szCs w:val="22"/>
        </w:rPr>
        <w:t xml:space="preserve"> b) </w:t>
      </w:r>
      <w:r>
        <w:rPr>
          <w:rFonts w:ascii="Tahoma" w:hAnsi="Tahoma" w:cs="Tahoma"/>
          <w:color w:val="000000"/>
          <w:sz w:val="22"/>
          <w:szCs w:val="22"/>
        </w:rPr>
        <w:t>FRESENIUS MEDICAL CARE DEL PERU S.A.</w:t>
      </w:r>
    </w:p>
    <w:p w:rsidR="002E78D8" w:rsidRPr="007E0F4C" w:rsidRDefault="002E78D8" w:rsidP="002E78D8">
      <w:pPr>
        <w:ind w:left="567"/>
        <w:jc w:val="both"/>
        <w:rPr>
          <w:rFonts w:ascii="Tahoma" w:hAnsi="Tahoma" w:cs="Tahoma"/>
          <w:sz w:val="22"/>
          <w:szCs w:val="22"/>
        </w:rPr>
      </w:pPr>
    </w:p>
    <w:p w:rsidR="002E78D8" w:rsidRPr="006C1E95" w:rsidRDefault="002E78D8" w:rsidP="002E78D8">
      <w:pPr>
        <w:numPr>
          <w:ilvl w:val="0"/>
          <w:numId w:val="3"/>
        </w:numPr>
        <w:tabs>
          <w:tab w:val="clear" w:pos="360"/>
        </w:tabs>
        <w:ind w:left="567" w:hanging="567"/>
        <w:jc w:val="both"/>
        <w:rPr>
          <w:rFonts w:ascii="Tahoma" w:hAnsi="Tahoma" w:cs="Tahoma"/>
          <w:sz w:val="22"/>
          <w:szCs w:val="22"/>
        </w:rPr>
      </w:pPr>
      <w:r w:rsidRPr="006464EC">
        <w:rPr>
          <w:rFonts w:ascii="Tahoma" w:hAnsi="Tahoma" w:cs="Tahoma"/>
          <w:sz w:val="22"/>
          <w:szCs w:val="22"/>
          <w:lang w:val="es-PE"/>
        </w:rPr>
        <w:t xml:space="preserve">El 19 de enero del 2011, se efectuó la calificación de propuestas técnicas, apertura de sobres económicos y otorgamiento de </w:t>
      </w:r>
      <w:smartTag w:uri="urn:schemas-microsoft-com:office:smarttags" w:element="PersonName">
        <w:smartTagPr>
          <w:attr w:name="ProductID" w:val="la Buena Pro"/>
        </w:smartTagPr>
        <w:r w:rsidRPr="006464EC">
          <w:rPr>
            <w:rFonts w:ascii="Tahoma" w:hAnsi="Tahoma" w:cs="Tahoma"/>
            <w:sz w:val="22"/>
            <w:szCs w:val="22"/>
            <w:lang w:val="es-PE"/>
          </w:rPr>
          <w:t>la Buena Pro</w:t>
        </w:r>
      </w:smartTag>
      <w:r w:rsidRPr="006464EC">
        <w:rPr>
          <w:rFonts w:ascii="Tahoma" w:hAnsi="Tahoma" w:cs="Tahoma"/>
          <w:sz w:val="22"/>
          <w:szCs w:val="22"/>
          <w:lang w:val="es-PE"/>
        </w:rPr>
        <w:t xml:space="preserve">, la misma que fue adjudicada a la empresa </w:t>
      </w:r>
      <w:r w:rsidRPr="006464EC">
        <w:rPr>
          <w:rFonts w:ascii="Tahoma" w:hAnsi="Tahoma" w:cs="Tahoma"/>
          <w:color w:val="000000"/>
          <w:sz w:val="22"/>
          <w:szCs w:val="22"/>
        </w:rPr>
        <w:t>FRESENIUS MEDICAL CARE DEL PERU S.A., en adelante el Adjudicatario</w:t>
      </w:r>
      <w:r>
        <w:rPr>
          <w:rFonts w:ascii="Tahoma" w:hAnsi="Tahoma" w:cs="Tahoma"/>
          <w:color w:val="000000"/>
          <w:sz w:val="22"/>
          <w:szCs w:val="22"/>
        </w:rPr>
        <w:t>.</w:t>
      </w:r>
    </w:p>
    <w:p w:rsidR="002E78D8" w:rsidRDefault="002E78D8" w:rsidP="002E78D8">
      <w:pPr>
        <w:pStyle w:val="Prrafodelista"/>
        <w:rPr>
          <w:rFonts w:ascii="Tahoma" w:hAnsi="Tahoma" w:cs="Tahoma"/>
          <w:color w:val="000000"/>
          <w:sz w:val="22"/>
          <w:szCs w:val="22"/>
        </w:rPr>
      </w:pPr>
    </w:p>
    <w:p w:rsidR="002E78D8" w:rsidRDefault="002E78D8" w:rsidP="002E78D8">
      <w:pPr>
        <w:ind w:left="567"/>
        <w:jc w:val="both"/>
        <w:rPr>
          <w:rFonts w:ascii="Tahoma" w:hAnsi="Tahoma" w:cs="Tahoma"/>
          <w:i/>
        </w:rPr>
      </w:pPr>
      <w:r>
        <w:rPr>
          <w:rFonts w:ascii="Tahoma" w:hAnsi="Tahoma" w:cs="Tahoma"/>
          <w:sz w:val="22"/>
          <w:szCs w:val="22"/>
        </w:rPr>
        <w:t xml:space="preserve">Asimismo, en dicho acto se descalificó la propuesta de la empresa </w:t>
      </w:r>
      <w:r w:rsidRPr="006464EC">
        <w:rPr>
          <w:rFonts w:ascii="Tahoma" w:hAnsi="Tahoma" w:cs="Tahoma"/>
          <w:sz w:val="22"/>
          <w:szCs w:val="22"/>
        </w:rPr>
        <w:t>LABORATORIOS BAXTER DEL PERU S.A.</w:t>
      </w:r>
      <w:r>
        <w:rPr>
          <w:rFonts w:ascii="Tahoma" w:hAnsi="Tahoma" w:cs="Tahoma"/>
          <w:sz w:val="22"/>
          <w:szCs w:val="22"/>
        </w:rPr>
        <w:t xml:space="preserve">, en adelante el Impugnante, consignándose en el Acta de Presencia Notarial de </w:t>
      </w:r>
      <w:smartTag w:uri="urn:schemas-microsoft-com:office:smarttags" w:element="PersonName">
        <w:smartTagPr>
          <w:attr w:name="ProductID" w:val="la Licitación Pública"/>
        </w:smartTagPr>
        <w:r>
          <w:rPr>
            <w:rFonts w:ascii="Tahoma" w:hAnsi="Tahoma" w:cs="Tahoma"/>
            <w:sz w:val="22"/>
            <w:szCs w:val="22"/>
          </w:rPr>
          <w:t>la Licitación Pública</w:t>
        </w:r>
      </w:smartTag>
      <w:r>
        <w:rPr>
          <w:rFonts w:ascii="Tahoma" w:hAnsi="Tahoma" w:cs="Tahoma"/>
          <w:sz w:val="22"/>
          <w:szCs w:val="22"/>
        </w:rPr>
        <w:t xml:space="preserve"> Nº 001-2010-ESSALUD/CNSR (1095L00011) de fecha 19 de enero del 2011, lo siguiente: </w:t>
      </w:r>
      <w:r w:rsidRPr="004003DD">
        <w:rPr>
          <w:rFonts w:ascii="Tahoma" w:hAnsi="Tahoma" w:cs="Tahoma"/>
          <w:i/>
        </w:rPr>
        <w:t xml:space="preserve">“EL POSTOR LABORATORIOS BAXTER DEL PERÚ S.A., NO ALCANZÓ EL PUNTAJE </w:t>
      </w:r>
      <w:r w:rsidRPr="004003DD">
        <w:rPr>
          <w:rFonts w:ascii="Tahoma" w:hAnsi="Tahoma" w:cs="Tahoma"/>
          <w:i/>
        </w:rPr>
        <w:lastRenderedPageBreak/>
        <w:t>MINIMO REQUERIDO DE SESENTA PUNTOS, POR LO QUE SU PROPUESTA TÉCNICA, FUE DESCALIFICADA (…)”</w:t>
      </w:r>
    </w:p>
    <w:p w:rsidR="002E78D8" w:rsidRDefault="002E78D8" w:rsidP="002E78D8">
      <w:pPr>
        <w:ind w:left="567"/>
        <w:jc w:val="both"/>
        <w:rPr>
          <w:rFonts w:ascii="Tahoma" w:hAnsi="Tahoma" w:cs="Tahoma"/>
          <w:sz w:val="22"/>
          <w:szCs w:val="22"/>
        </w:rPr>
      </w:pPr>
    </w:p>
    <w:p w:rsidR="002E78D8" w:rsidRPr="007E0F4C" w:rsidRDefault="002E78D8" w:rsidP="002E78D8">
      <w:pPr>
        <w:numPr>
          <w:ilvl w:val="0"/>
          <w:numId w:val="3"/>
        </w:numPr>
        <w:tabs>
          <w:tab w:val="clear" w:pos="360"/>
          <w:tab w:val="num" w:pos="540"/>
          <w:tab w:val="num" w:pos="567"/>
        </w:tabs>
        <w:ind w:left="540" w:hanging="540"/>
        <w:jc w:val="both"/>
        <w:rPr>
          <w:rFonts w:ascii="Tahoma" w:hAnsi="Tahoma" w:cs="Tahoma"/>
          <w:sz w:val="22"/>
          <w:szCs w:val="22"/>
        </w:rPr>
      </w:pPr>
      <w:r w:rsidRPr="007E0F4C">
        <w:rPr>
          <w:rFonts w:ascii="Tahoma" w:hAnsi="Tahoma" w:cs="Tahoma"/>
          <w:sz w:val="22"/>
          <w:szCs w:val="22"/>
        </w:rPr>
        <w:t xml:space="preserve">Mediante escrito presentado el </w:t>
      </w:r>
      <w:r>
        <w:rPr>
          <w:rFonts w:ascii="Tahoma" w:hAnsi="Tahoma" w:cs="Tahoma"/>
          <w:sz w:val="22"/>
          <w:szCs w:val="22"/>
        </w:rPr>
        <w:t>31 de enero del 2011</w:t>
      </w:r>
      <w:r w:rsidRPr="007E0F4C">
        <w:rPr>
          <w:rFonts w:ascii="Tahoma" w:hAnsi="Tahoma" w:cs="Tahoma"/>
          <w:sz w:val="22"/>
          <w:szCs w:val="22"/>
        </w:rPr>
        <w:t xml:space="preserve">, </w:t>
      </w:r>
      <w:r>
        <w:rPr>
          <w:rFonts w:ascii="Tahoma" w:hAnsi="Tahoma" w:cs="Tahoma"/>
          <w:sz w:val="22"/>
          <w:szCs w:val="22"/>
        </w:rPr>
        <w:t>subsanado el 01 de febrero de 2011, el Impugnante</w:t>
      </w:r>
      <w:r w:rsidRPr="007E0F4C">
        <w:rPr>
          <w:rFonts w:ascii="Tahoma" w:hAnsi="Tahoma" w:cs="Tahoma"/>
          <w:sz w:val="22"/>
          <w:szCs w:val="22"/>
        </w:rPr>
        <w:t xml:space="preserve"> interpuso recurso de apelación ante el Tribunal de Contrataciones del Estado, en adelante el Tribunal, </w:t>
      </w:r>
      <w:r w:rsidRPr="007E0F4C">
        <w:rPr>
          <w:rFonts w:ascii="Tahoma" w:hAnsi="Tahoma" w:cs="Tahoma"/>
          <w:sz w:val="22"/>
          <w:szCs w:val="22"/>
          <w:lang w:val="es-PE"/>
        </w:rPr>
        <w:t xml:space="preserve">contra </w:t>
      </w:r>
      <w:r>
        <w:rPr>
          <w:rFonts w:ascii="Tahoma" w:hAnsi="Tahoma" w:cs="Tahoma"/>
          <w:sz w:val="22"/>
          <w:szCs w:val="22"/>
          <w:lang w:val="es-PE"/>
        </w:rPr>
        <w:t>la descalificación de su propuesta técnica, así como del acto de otorgamiento de la Buena Pro a favor d</w:t>
      </w:r>
      <w:r w:rsidRPr="007E0F4C">
        <w:rPr>
          <w:rFonts w:ascii="Tahoma" w:hAnsi="Tahoma" w:cs="Tahoma"/>
          <w:sz w:val="22"/>
          <w:szCs w:val="22"/>
          <w:lang w:val="es-PE"/>
        </w:rPr>
        <w:t>el Adjudicatario</w:t>
      </w:r>
      <w:r>
        <w:rPr>
          <w:rFonts w:ascii="Tahoma" w:hAnsi="Tahoma" w:cs="Tahoma"/>
          <w:sz w:val="22"/>
          <w:szCs w:val="22"/>
          <w:lang w:val="es-PE"/>
        </w:rPr>
        <w:t>, al señalar que su propuesta técnica cumple con los requisitos y criterios de evaluación</w:t>
      </w:r>
      <w:r w:rsidRPr="007E0F4C">
        <w:rPr>
          <w:rFonts w:ascii="Tahoma" w:hAnsi="Tahoma" w:cs="Tahoma"/>
          <w:sz w:val="22"/>
          <w:szCs w:val="22"/>
          <w:lang w:val="es-PE"/>
        </w:rPr>
        <w:t>, bajo los siguiente</w:t>
      </w:r>
      <w:r>
        <w:rPr>
          <w:rFonts w:ascii="Tahoma" w:hAnsi="Tahoma" w:cs="Tahoma"/>
          <w:sz w:val="22"/>
          <w:szCs w:val="22"/>
          <w:lang w:val="es-PE"/>
        </w:rPr>
        <w:t>s</w:t>
      </w:r>
      <w:r w:rsidRPr="007E0F4C">
        <w:rPr>
          <w:rFonts w:ascii="Tahoma" w:hAnsi="Tahoma" w:cs="Tahoma"/>
          <w:sz w:val="22"/>
          <w:szCs w:val="22"/>
          <w:lang w:val="es-PE"/>
        </w:rPr>
        <w:t xml:space="preserve"> argumentos:</w:t>
      </w:r>
    </w:p>
    <w:p w:rsidR="002E78D8" w:rsidRDefault="002E78D8" w:rsidP="002E78D8">
      <w:pPr>
        <w:pStyle w:val="Prrafodelista"/>
        <w:ind w:left="567"/>
        <w:rPr>
          <w:rFonts w:ascii="Tahoma" w:hAnsi="Tahoma" w:cs="Tahoma"/>
          <w:sz w:val="22"/>
          <w:szCs w:val="22"/>
        </w:rPr>
      </w:pPr>
    </w:p>
    <w:p w:rsidR="002E78D8" w:rsidRPr="00BE7A8A" w:rsidRDefault="002E78D8" w:rsidP="002E78D8">
      <w:pPr>
        <w:pStyle w:val="Prrafodelista"/>
        <w:ind w:left="567"/>
        <w:rPr>
          <w:rFonts w:ascii="Tahoma" w:hAnsi="Tahoma" w:cs="Tahoma"/>
          <w:b/>
          <w:sz w:val="22"/>
          <w:szCs w:val="22"/>
        </w:rPr>
      </w:pPr>
      <w:r>
        <w:rPr>
          <w:rFonts w:ascii="Tahoma" w:hAnsi="Tahoma" w:cs="Tahoma"/>
          <w:b/>
          <w:sz w:val="22"/>
          <w:szCs w:val="22"/>
        </w:rPr>
        <w:t>C</w:t>
      </w:r>
      <w:r w:rsidRPr="00BE7A8A">
        <w:rPr>
          <w:rFonts w:ascii="Tahoma" w:hAnsi="Tahoma" w:cs="Tahoma"/>
          <w:b/>
          <w:sz w:val="22"/>
          <w:szCs w:val="22"/>
        </w:rPr>
        <w:t>umplimiento del factor de “experiencia del postor”</w:t>
      </w:r>
    </w:p>
    <w:p w:rsidR="002E78D8" w:rsidRPr="007E0F4C" w:rsidRDefault="002E78D8" w:rsidP="002E78D8">
      <w:pPr>
        <w:pStyle w:val="Prrafodelista"/>
        <w:ind w:left="567"/>
        <w:rPr>
          <w:rFonts w:ascii="Tahoma" w:hAnsi="Tahoma" w:cs="Tahoma"/>
          <w:sz w:val="22"/>
          <w:szCs w:val="22"/>
        </w:rPr>
      </w:pPr>
    </w:p>
    <w:p w:rsidR="002E78D8" w:rsidRDefault="002E78D8" w:rsidP="002E78D8">
      <w:pPr>
        <w:pStyle w:val="Prrafodelista"/>
        <w:widowControl w:val="0"/>
        <w:numPr>
          <w:ilvl w:val="0"/>
          <w:numId w:val="11"/>
        </w:numPr>
        <w:suppressAutoHyphens/>
        <w:ind w:left="1134" w:hanging="567"/>
        <w:jc w:val="both"/>
        <w:rPr>
          <w:rFonts w:ascii="Tahoma" w:hAnsi="Tahoma" w:cs="Tahoma"/>
          <w:sz w:val="22"/>
          <w:szCs w:val="22"/>
          <w:lang w:val="es-PE"/>
        </w:rPr>
      </w:pPr>
      <w:r>
        <w:rPr>
          <w:rFonts w:ascii="Tahoma" w:hAnsi="Tahoma" w:cs="Tahoma"/>
          <w:sz w:val="22"/>
          <w:szCs w:val="22"/>
        </w:rPr>
        <w:t xml:space="preserve">En el numeral 2.10.1.2 de las Bases del proceso de selección, se dispuso que “(…), el postor deberá necesariamente presentar copia simple de </w:t>
      </w:r>
      <w:r w:rsidRPr="007E0F4C">
        <w:rPr>
          <w:rFonts w:ascii="Tahoma" w:hAnsi="Tahoma" w:cs="Tahoma"/>
          <w:sz w:val="22"/>
          <w:szCs w:val="22"/>
          <w:lang w:val="es-PE"/>
        </w:rPr>
        <w:t>l</w:t>
      </w:r>
      <w:r>
        <w:rPr>
          <w:rFonts w:ascii="Tahoma" w:hAnsi="Tahoma" w:cs="Tahoma"/>
          <w:sz w:val="22"/>
          <w:szCs w:val="22"/>
          <w:lang w:val="es-PE"/>
        </w:rPr>
        <w:t>os contratos con su respectiva conformidad o comprobantes de pago cuya cancelación se acredite documentalmente y fehacientemente (…) referidos a la venta de Sistemas de Diálisis Peritoneal Automatizado Continua (DIPAC) a personas naturales o jurídicas (…) hasta por un número máximo de 20 (…) contrataciones sin importar el número de documentos que lo sustenten con una antigüedad de emisión o suscripción no mayor de cinco (05) años contados a partir de la fecha de presentación de las Propuestas.</w:t>
      </w:r>
    </w:p>
    <w:p w:rsidR="002E78D8" w:rsidRDefault="002E78D8" w:rsidP="002E78D8">
      <w:pPr>
        <w:pStyle w:val="Prrafodelista"/>
        <w:ind w:left="1134" w:hanging="567"/>
        <w:jc w:val="both"/>
        <w:rPr>
          <w:rFonts w:ascii="Tahoma" w:hAnsi="Tahoma" w:cs="Tahoma"/>
          <w:sz w:val="22"/>
          <w:szCs w:val="22"/>
          <w:lang w:val="es-PE"/>
        </w:rPr>
      </w:pPr>
    </w:p>
    <w:p w:rsidR="002E78D8" w:rsidRDefault="002E78D8" w:rsidP="002E78D8">
      <w:pPr>
        <w:pStyle w:val="Prrafodelista"/>
        <w:widowControl w:val="0"/>
        <w:numPr>
          <w:ilvl w:val="0"/>
          <w:numId w:val="11"/>
        </w:numPr>
        <w:suppressAutoHyphens/>
        <w:ind w:left="1134" w:hanging="567"/>
        <w:jc w:val="both"/>
        <w:rPr>
          <w:rFonts w:ascii="Tahoma" w:hAnsi="Tahoma" w:cs="Tahoma"/>
          <w:sz w:val="22"/>
          <w:szCs w:val="22"/>
          <w:lang w:val="es-PE"/>
        </w:rPr>
      </w:pPr>
      <w:r>
        <w:rPr>
          <w:rFonts w:ascii="Tahoma" w:hAnsi="Tahoma" w:cs="Tahoma"/>
          <w:sz w:val="22"/>
          <w:szCs w:val="22"/>
          <w:lang w:val="es-PE"/>
        </w:rPr>
        <w:t>A través del documento “Contrato de Distribución Exclusiva” cumplió con el requisito exigido por las Bases del proceso de selección, toda vez que las disposiciones del mismo, a saber las cláusulas 3.1 y 5, responden al de un contrato de venta de material médico y medicamentos</w:t>
      </w:r>
    </w:p>
    <w:p w:rsidR="002E78D8" w:rsidRDefault="002E78D8" w:rsidP="002E78D8">
      <w:pPr>
        <w:pStyle w:val="Prrafodelista"/>
        <w:ind w:left="1134" w:hanging="567"/>
        <w:jc w:val="both"/>
        <w:rPr>
          <w:rFonts w:ascii="Tahoma" w:hAnsi="Tahoma" w:cs="Tahoma"/>
          <w:sz w:val="22"/>
          <w:szCs w:val="22"/>
          <w:lang w:val="es-PE"/>
        </w:rPr>
      </w:pPr>
    </w:p>
    <w:p w:rsidR="002E78D8" w:rsidRDefault="002E78D8" w:rsidP="002E78D8">
      <w:pPr>
        <w:pStyle w:val="Prrafodelista"/>
        <w:widowControl w:val="0"/>
        <w:numPr>
          <w:ilvl w:val="0"/>
          <w:numId w:val="11"/>
        </w:numPr>
        <w:suppressAutoHyphens/>
        <w:ind w:left="1134" w:hanging="567"/>
        <w:jc w:val="both"/>
        <w:rPr>
          <w:rFonts w:ascii="Tahoma" w:hAnsi="Tahoma" w:cs="Tahoma"/>
          <w:sz w:val="22"/>
          <w:szCs w:val="22"/>
          <w:lang w:val="es-PE"/>
        </w:rPr>
      </w:pPr>
      <w:r>
        <w:rPr>
          <w:rFonts w:ascii="Tahoma" w:hAnsi="Tahoma" w:cs="Tahoma"/>
          <w:sz w:val="22"/>
          <w:szCs w:val="22"/>
          <w:lang w:val="es-PE"/>
        </w:rPr>
        <w:t>Por lo tanto, se advierte que las partes han otorgado el nomen iuris de Contrato de Distribución Exclusiva, no obstante ello, la naturaleza del acuerdo es en esencia el de un Contrato de Venta de Material Médico y Medicamentos, el mismo que permite acreditar su experiencia como postores de acuerdo a los términos de las bases del proceso de selección, en tal sentido, más allá del nomen iuris asignado, se debió analizar si este documento cumplió o no con lo solicitado por la entidad convocante.</w:t>
      </w:r>
    </w:p>
    <w:p w:rsidR="002E78D8" w:rsidRPr="0084727C" w:rsidRDefault="002E78D8" w:rsidP="002E78D8">
      <w:pPr>
        <w:pStyle w:val="Prrafodelista"/>
        <w:ind w:left="1134" w:hanging="567"/>
        <w:rPr>
          <w:rFonts w:ascii="Tahoma" w:hAnsi="Tahoma" w:cs="Tahoma"/>
          <w:sz w:val="22"/>
          <w:szCs w:val="22"/>
          <w:lang w:val="es-PE"/>
        </w:rPr>
      </w:pPr>
    </w:p>
    <w:p w:rsidR="002E78D8" w:rsidRDefault="002E78D8" w:rsidP="002E78D8">
      <w:pPr>
        <w:pStyle w:val="Prrafodelista"/>
        <w:widowControl w:val="0"/>
        <w:numPr>
          <w:ilvl w:val="0"/>
          <w:numId w:val="11"/>
        </w:numPr>
        <w:suppressAutoHyphens/>
        <w:ind w:left="1134" w:hanging="567"/>
        <w:jc w:val="both"/>
        <w:rPr>
          <w:rFonts w:ascii="Tahoma" w:hAnsi="Tahoma" w:cs="Tahoma"/>
          <w:sz w:val="22"/>
          <w:szCs w:val="22"/>
          <w:lang w:val="es-PE"/>
        </w:rPr>
      </w:pPr>
      <w:r>
        <w:rPr>
          <w:rFonts w:ascii="Tahoma" w:hAnsi="Tahoma" w:cs="Tahoma"/>
          <w:sz w:val="22"/>
          <w:szCs w:val="22"/>
          <w:lang w:val="es-PE"/>
        </w:rPr>
        <w:t xml:space="preserve">Asimismo, señaló que el material médico objeto del Contrato de Distribución, contiene diez (10) de los ítems que guardan relación con el objeto de convocatoria de </w:t>
      </w:r>
      <w:smartTag w:uri="urn:schemas-microsoft-com:office:smarttags" w:element="PersonName">
        <w:smartTagPr>
          <w:attr w:name="ProductID" w:val="la Licitación Pública"/>
        </w:smartTagPr>
        <w:r>
          <w:rPr>
            <w:rFonts w:ascii="Tahoma" w:hAnsi="Tahoma" w:cs="Tahoma"/>
            <w:sz w:val="22"/>
            <w:szCs w:val="22"/>
            <w:lang w:val="es-PE"/>
          </w:rPr>
          <w:t>la Licitación Pública</w:t>
        </w:r>
      </w:smartTag>
      <w:r>
        <w:rPr>
          <w:rFonts w:ascii="Tahoma" w:hAnsi="Tahoma" w:cs="Tahoma"/>
          <w:sz w:val="22"/>
          <w:szCs w:val="22"/>
          <w:lang w:val="es-PE"/>
        </w:rPr>
        <w:t>, por lo tanto se le debió otorgar el puntaje máximo de 20 (veinte) puntos, al demostrar su experiencia en la venta de sistemas de diálisis peritoneal automatizada continua.</w:t>
      </w:r>
    </w:p>
    <w:p w:rsidR="002E78D8" w:rsidRPr="00803ABE" w:rsidRDefault="002E78D8" w:rsidP="002E78D8">
      <w:pPr>
        <w:pStyle w:val="Prrafodelista"/>
        <w:ind w:left="1134" w:hanging="567"/>
        <w:rPr>
          <w:rFonts w:ascii="Tahoma" w:hAnsi="Tahoma" w:cs="Tahoma"/>
          <w:sz w:val="22"/>
          <w:szCs w:val="22"/>
          <w:lang w:val="es-PE"/>
        </w:rPr>
      </w:pPr>
    </w:p>
    <w:p w:rsidR="002E78D8" w:rsidRDefault="002E78D8" w:rsidP="002E78D8">
      <w:pPr>
        <w:pStyle w:val="Prrafodelista"/>
        <w:widowControl w:val="0"/>
        <w:numPr>
          <w:ilvl w:val="0"/>
          <w:numId w:val="11"/>
        </w:numPr>
        <w:suppressAutoHyphens/>
        <w:ind w:left="1134" w:hanging="567"/>
        <w:jc w:val="both"/>
        <w:rPr>
          <w:rFonts w:ascii="Tahoma" w:hAnsi="Tahoma" w:cs="Tahoma"/>
          <w:sz w:val="22"/>
          <w:szCs w:val="22"/>
          <w:lang w:val="es-PE"/>
        </w:rPr>
      </w:pPr>
      <w:r>
        <w:rPr>
          <w:rFonts w:ascii="Tahoma" w:hAnsi="Tahoma" w:cs="Tahoma"/>
          <w:sz w:val="22"/>
          <w:szCs w:val="22"/>
          <w:lang w:val="es-PE"/>
        </w:rPr>
        <w:t xml:space="preserve">Así también, señaló que adjuntó a su propuesta técnica </w:t>
      </w:r>
      <w:smartTag w:uri="urn:schemas-microsoft-com:office:smarttags" w:element="PersonName">
        <w:smartTagPr>
          <w:attr w:name="ProductID" w:val="la Carta HB"/>
        </w:smartTagPr>
        <w:r>
          <w:rPr>
            <w:rFonts w:ascii="Tahoma" w:hAnsi="Tahoma" w:cs="Tahoma"/>
            <w:sz w:val="22"/>
            <w:szCs w:val="22"/>
            <w:lang w:val="es-PE"/>
          </w:rPr>
          <w:t>la Carta HB</w:t>
        </w:r>
      </w:smartTag>
      <w:r>
        <w:rPr>
          <w:rFonts w:ascii="Tahoma" w:hAnsi="Tahoma" w:cs="Tahoma"/>
          <w:sz w:val="22"/>
          <w:szCs w:val="22"/>
          <w:lang w:val="es-PE"/>
        </w:rPr>
        <w:t>/264.10.10 de fecha 26 de octubre de 2010, en la que se dejó constancia de las facturas pagadas por Hersil S.A. Laboratorios Industriales Farmacéuticos a Baxter por la venta de medicamentos y material médico.</w:t>
      </w:r>
    </w:p>
    <w:p w:rsidR="002E78D8" w:rsidRPr="00BE7A8A" w:rsidRDefault="002E78D8" w:rsidP="002E78D8">
      <w:pPr>
        <w:pStyle w:val="Prrafodelista"/>
        <w:rPr>
          <w:rFonts w:ascii="Tahoma" w:hAnsi="Tahoma" w:cs="Tahoma"/>
          <w:sz w:val="22"/>
          <w:szCs w:val="22"/>
          <w:lang w:val="es-PE"/>
        </w:rPr>
      </w:pPr>
    </w:p>
    <w:p w:rsidR="002E78D8" w:rsidRDefault="002E78D8" w:rsidP="002E78D8">
      <w:pPr>
        <w:pStyle w:val="Prrafodelista"/>
        <w:ind w:left="567"/>
        <w:rPr>
          <w:rFonts w:ascii="Tahoma" w:hAnsi="Tahoma" w:cs="Tahoma"/>
          <w:b/>
          <w:sz w:val="22"/>
          <w:szCs w:val="22"/>
        </w:rPr>
      </w:pPr>
      <w:r>
        <w:rPr>
          <w:rFonts w:ascii="Tahoma" w:hAnsi="Tahoma" w:cs="Tahoma"/>
          <w:b/>
          <w:sz w:val="22"/>
          <w:szCs w:val="22"/>
        </w:rPr>
        <w:t>C</w:t>
      </w:r>
      <w:r w:rsidRPr="00BE7A8A">
        <w:rPr>
          <w:rFonts w:ascii="Tahoma" w:hAnsi="Tahoma" w:cs="Tahoma"/>
          <w:b/>
          <w:sz w:val="22"/>
          <w:szCs w:val="22"/>
        </w:rPr>
        <w:t>umplimiento del factor de “experiencia del postor”</w:t>
      </w:r>
    </w:p>
    <w:p w:rsidR="002E78D8" w:rsidRDefault="002E78D8" w:rsidP="002E78D8">
      <w:pPr>
        <w:pStyle w:val="Prrafodelista"/>
        <w:ind w:left="567"/>
        <w:rPr>
          <w:rFonts w:ascii="Tahoma" w:hAnsi="Tahoma" w:cs="Tahoma"/>
          <w:b/>
          <w:sz w:val="22"/>
          <w:szCs w:val="22"/>
        </w:rPr>
      </w:pPr>
    </w:p>
    <w:p w:rsidR="002E78D8" w:rsidRDefault="002E78D8" w:rsidP="002E78D8">
      <w:pPr>
        <w:pStyle w:val="Prrafodelista"/>
        <w:widowControl w:val="0"/>
        <w:numPr>
          <w:ilvl w:val="0"/>
          <w:numId w:val="12"/>
        </w:numPr>
        <w:suppressAutoHyphens/>
        <w:ind w:left="1134" w:hanging="567"/>
        <w:jc w:val="both"/>
        <w:rPr>
          <w:rFonts w:ascii="Tahoma" w:hAnsi="Tahoma" w:cs="Tahoma"/>
          <w:sz w:val="22"/>
          <w:szCs w:val="22"/>
        </w:rPr>
      </w:pPr>
      <w:r>
        <w:rPr>
          <w:rFonts w:ascii="Tahoma" w:hAnsi="Tahoma" w:cs="Tahoma"/>
          <w:sz w:val="22"/>
          <w:szCs w:val="22"/>
        </w:rPr>
        <w:t>En el capítulo V (Criterios de Evaluación) de las Bases del Proceso de Selección, respecto al factor referido al “Cumplimiento de la Prestación” se estableció que (…) se evaluará en función al número de Certificados o Constancias que acrediten el cumplimiento de la prestación sin que se haya incurrido en penalidades.</w:t>
      </w:r>
    </w:p>
    <w:p w:rsidR="002E78D8" w:rsidRDefault="002E78D8" w:rsidP="002E78D8">
      <w:pPr>
        <w:pStyle w:val="Prrafodelista"/>
        <w:ind w:left="1134" w:hanging="567"/>
        <w:jc w:val="both"/>
        <w:rPr>
          <w:rFonts w:ascii="Tahoma" w:hAnsi="Tahoma" w:cs="Tahoma"/>
          <w:sz w:val="22"/>
          <w:szCs w:val="22"/>
        </w:rPr>
      </w:pPr>
    </w:p>
    <w:p w:rsidR="002E78D8" w:rsidRDefault="002E78D8" w:rsidP="002E78D8">
      <w:pPr>
        <w:pStyle w:val="Prrafodelista"/>
        <w:widowControl w:val="0"/>
        <w:numPr>
          <w:ilvl w:val="0"/>
          <w:numId w:val="12"/>
        </w:numPr>
        <w:suppressAutoHyphens/>
        <w:ind w:left="1134" w:hanging="567"/>
        <w:jc w:val="both"/>
        <w:rPr>
          <w:rFonts w:ascii="Tahoma" w:hAnsi="Tahoma" w:cs="Tahoma"/>
          <w:sz w:val="22"/>
          <w:szCs w:val="22"/>
        </w:rPr>
      </w:pPr>
      <w:r>
        <w:rPr>
          <w:rFonts w:ascii="Tahoma" w:hAnsi="Tahoma" w:cs="Tahoma"/>
          <w:sz w:val="22"/>
          <w:szCs w:val="22"/>
        </w:rPr>
        <w:t xml:space="preserve">Al respecto, el Impugnante señaló que adjuntó a su propuesta técnica la Constancia de Presentación emitida por Hersil S.A. laboratorios Industriales Farmacéuticos, en la cual se consignó lo siguiente: </w:t>
      </w:r>
    </w:p>
    <w:p w:rsidR="002E78D8" w:rsidRDefault="002E78D8" w:rsidP="002E78D8">
      <w:pPr>
        <w:pStyle w:val="Prrafodelista"/>
        <w:ind w:left="567"/>
        <w:jc w:val="both"/>
        <w:rPr>
          <w:rFonts w:ascii="Tahoma" w:hAnsi="Tahoma" w:cs="Tahoma"/>
          <w:sz w:val="22"/>
          <w:szCs w:val="22"/>
        </w:rPr>
      </w:pPr>
    </w:p>
    <w:p w:rsidR="002E78D8" w:rsidRPr="008E4E1B" w:rsidRDefault="002E78D8" w:rsidP="002E78D8">
      <w:pPr>
        <w:pStyle w:val="Prrafodelista"/>
        <w:ind w:left="1134"/>
        <w:jc w:val="both"/>
        <w:rPr>
          <w:rFonts w:ascii="Tahoma" w:hAnsi="Tahoma" w:cs="Tahoma"/>
          <w:i/>
          <w:sz w:val="22"/>
          <w:szCs w:val="22"/>
        </w:rPr>
      </w:pPr>
      <w:r w:rsidRPr="008E4E1B">
        <w:rPr>
          <w:rFonts w:ascii="Tahoma" w:hAnsi="Tahoma" w:cs="Tahoma"/>
          <w:i/>
          <w:sz w:val="22"/>
          <w:szCs w:val="22"/>
        </w:rPr>
        <w:t xml:space="preserve">“Que, de acuerdo al Contrato de Distribución Exclusiva (…) procedemos a elaborar </w:t>
      </w:r>
      <w:smartTag w:uri="urn:schemas-microsoft-com:office:smarttags" w:element="PersonName">
        <w:smartTagPr>
          <w:attr w:name="ProductID" w:val="la Constancia"/>
        </w:smartTagPr>
        <w:r w:rsidRPr="008E4E1B">
          <w:rPr>
            <w:rFonts w:ascii="Tahoma" w:hAnsi="Tahoma" w:cs="Tahoma"/>
            <w:i/>
            <w:sz w:val="22"/>
            <w:szCs w:val="22"/>
          </w:rPr>
          <w:t>la Constancia</w:t>
        </w:r>
      </w:smartTag>
      <w:r w:rsidRPr="008E4E1B">
        <w:rPr>
          <w:rFonts w:ascii="Tahoma" w:hAnsi="Tahoma" w:cs="Tahoma"/>
          <w:i/>
          <w:sz w:val="22"/>
          <w:szCs w:val="22"/>
        </w:rPr>
        <w:t xml:space="preserve"> de prestación correspondiente al período 1° de Enero 2010 al 30 de junio 2010, siendo el valor de las prestaciones recibidas y canceladas en medicamentos y material médico S/. 14’329,659.11 (…)</w:t>
      </w:r>
    </w:p>
    <w:p w:rsidR="002E78D8" w:rsidRPr="008E4E1B" w:rsidRDefault="002E78D8" w:rsidP="002E78D8">
      <w:pPr>
        <w:pStyle w:val="Prrafodelista"/>
        <w:ind w:left="1134"/>
        <w:jc w:val="both"/>
        <w:rPr>
          <w:rFonts w:ascii="Tahoma" w:hAnsi="Tahoma" w:cs="Tahoma"/>
          <w:i/>
          <w:sz w:val="22"/>
          <w:szCs w:val="22"/>
        </w:rPr>
      </w:pPr>
      <w:r w:rsidRPr="008E4E1B">
        <w:rPr>
          <w:rFonts w:ascii="Tahoma" w:hAnsi="Tahoma" w:cs="Tahoma"/>
          <w:i/>
          <w:sz w:val="22"/>
          <w:szCs w:val="22"/>
        </w:rPr>
        <w:t>Laboratorios Baxter del Perú S.A. ha cumplido con la atención de nuestros requerimientos en los plazos establecidos.</w:t>
      </w:r>
    </w:p>
    <w:p w:rsidR="002E78D8" w:rsidRDefault="002E78D8" w:rsidP="002E78D8">
      <w:pPr>
        <w:pStyle w:val="Prrafodelista"/>
        <w:ind w:left="1134"/>
        <w:jc w:val="both"/>
        <w:rPr>
          <w:rFonts w:ascii="Tahoma" w:hAnsi="Tahoma" w:cs="Tahoma"/>
          <w:i/>
          <w:sz w:val="22"/>
          <w:szCs w:val="22"/>
        </w:rPr>
      </w:pPr>
      <w:r w:rsidRPr="008E4E1B">
        <w:rPr>
          <w:rFonts w:ascii="Tahoma" w:hAnsi="Tahoma" w:cs="Tahoma"/>
          <w:i/>
          <w:sz w:val="22"/>
          <w:szCs w:val="22"/>
        </w:rPr>
        <w:t>Se expide la presente constancia a solicitud de la parte interesada, (…) no habiendo incurrido en penalidad alguna”</w:t>
      </w:r>
    </w:p>
    <w:p w:rsidR="002E78D8" w:rsidRDefault="002E78D8" w:rsidP="002E78D8">
      <w:pPr>
        <w:pStyle w:val="Prrafodelista"/>
        <w:ind w:left="567"/>
        <w:jc w:val="both"/>
        <w:rPr>
          <w:rFonts w:ascii="Tahoma" w:hAnsi="Tahoma" w:cs="Tahoma"/>
          <w:i/>
          <w:sz w:val="22"/>
          <w:szCs w:val="22"/>
        </w:rPr>
      </w:pPr>
    </w:p>
    <w:p w:rsidR="002E78D8" w:rsidRDefault="002E78D8" w:rsidP="002E78D8">
      <w:pPr>
        <w:pStyle w:val="Prrafodelista"/>
        <w:widowControl w:val="0"/>
        <w:numPr>
          <w:ilvl w:val="0"/>
          <w:numId w:val="12"/>
        </w:numPr>
        <w:suppressAutoHyphens/>
        <w:ind w:left="1134" w:hanging="567"/>
        <w:jc w:val="both"/>
        <w:rPr>
          <w:rFonts w:ascii="Tahoma" w:hAnsi="Tahoma" w:cs="Tahoma"/>
          <w:sz w:val="22"/>
          <w:szCs w:val="22"/>
        </w:rPr>
      </w:pPr>
      <w:r>
        <w:rPr>
          <w:rFonts w:ascii="Tahoma" w:hAnsi="Tahoma" w:cs="Tahoma"/>
          <w:sz w:val="22"/>
          <w:szCs w:val="22"/>
        </w:rPr>
        <w:t>Por lo tanto, su Propuesta Técnica cumplía con los requisitos señalados en las Bases, toda vez que dicha constancia demostraba que Laboratorios Baxter del Perú S.A. atendió los requerimientos por la venta de los productos solicitados dentro de los plazos establecidos y sin incurrir en penalidad alguna, debiendo de habérsele otorgado el puntaje máximo de 20 (veinte) puntos.</w:t>
      </w:r>
    </w:p>
    <w:p w:rsidR="002E78D8" w:rsidRDefault="002E78D8" w:rsidP="002E78D8">
      <w:pPr>
        <w:pStyle w:val="Prrafodelista"/>
        <w:ind w:left="1134" w:hanging="567"/>
        <w:jc w:val="both"/>
        <w:rPr>
          <w:rFonts w:ascii="Tahoma" w:hAnsi="Tahoma" w:cs="Tahoma"/>
          <w:sz w:val="22"/>
          <w:szCs w:val="22"/>
        </w:rPr>
      </w:pPr>
    </w:p>
    <w:p w:rsidR="002E78D8" w:rsidRDefault="002E78D8" w:rsidP="002E78D8">
      <w:pPr>
        <w:pStyle w:val="Prrafodelista"/>
        <w:widowControl w:val="0"/>
        <w:numPr>
          <w:ilvl w:val="0"/>
          <w:numId w:val="12"/>
        </w:numPr>
        <w:suppressAutoHyphens/>
        <w:ind w:left="1134" w:hanging="567"/>
        <w:jc w:val="both"/>
        <w:rPr>
          <w:rFonts w:ascii="Tahoma" w:hAnsi="Tahoma" w:cs="Tahoma"/>
          <w:sz w:val="22"/>
          <w:szCs w:val="22"/>
        </w:rPr>
      </w:pPr>
      <w:r>
        <w:rPr>
          <w:rFonts w:ascii="Tahoma" w:hAnsi="Tahoma" w:cs="Tahoma"/>
          <w:sz w:val="22"/>
          <w:szCs w:val="22"/>
        </w:rPr>
        <w:t>En tal sentido, en aplicación de lo dispuesto en las Bases Integradas, el Comité Especial debió verificar que los documentos presentados por los postores sean los solicitadas en las Bases y que el contenido de estos se encuentran conformes a los criterios de evaluación establecidos, ya que de otro modo, bastaría con colocar o presentar los documentos con los nombres solicitados en las bases y que el contenido de estos no guarde relación con lo solicitado en las Bases Integradas.</w:t>
      </w:r>
    </w:p>
    <w:p w:rsidR="002E78D8" w:rsidRDefault="002E78D8" w:rsidP="002E78D8">
      <w:pPr>
        <w:pStyle w:val="Prrafodelista"/>
        <w:ind w:left="567"/>
        <w:jc w:val="both"/>
        <w:rPr>
          <w:rFonts w:ascii="Tahoma" w:hAnsi="Tahoma" w:cs="Tahoma"/>
          <w:sz w:val="22"/>
          <w:szCs w:val="22"/>
        </w:rPr>
      </w:pPr>
    </w:p>
    <w:p w:rsidR="002E78D8" w:rsidRPr="009C7448" w:rsidRDefault="002E78D8" w:rsidP="002E78D8">
      <w:pPr>
        <w:pStyle w:val="Prrafodelista"/>
        <w:ind w:left="567"/>
        <w:jc w:val="both"/>
        <w:rPr>
          <w:rFonts w:ascii="Tahoma" w:hAnsi="Tahoma" w:cs="Tahoma"/>
          <w:b/>
          <w:sz w:val="22"/>
          <w:szCs w:val="22"/>
        </w:rPr>
      </w:pPr>
      <w:r>
        <w:rPr>
          <w:rFonts w:ascii="Tahoma" w:hAnsi="Tahoma" w:cs="Tahoma"/>
          <w:b/>
          <w:sz w:val="22"/>
          <w:szCs w:val="22"/>
        </w:rPr>
        <w:t>SOBRE</w:t>
      </w:r>
      <w:r w:rsidRPr="009C7448">
        <w:rPr>
          <w:rFonts w:ascii="Tahoma" w:hAnsi="Tahoma" w:cs="Tahoma"/>
          <w:b/>
          <w:sz w:val="22"/>
          <w:szCs w:val="22"/>
        </w:rPr>
        <w:t xml:space="preserve"> LA DESCALIFICACIÓN DE LA PROPUESTA DE LA ADJUDICATARIA.</w:t>
      </w:r>
    </w:p>
    <w:p w:rsidR="002E78D8" w:rsidRDefault="002E78D8" w:rsidP="002E78D8">
      <w:pPr>
        <w:pStyle w:val="Prrafodelista"/>
        <w:ind w:left="567"/>
        <w:jc w:val="both"/>
        <w:rPr>
          <w:rFonts w:ascii="Tahoma" w:hAnsi="Tahoma" w:cs="Tahoma"/>
          <w:sz w:val="22"/>
          <w:szCs w:val="22"/>
        </w:rPr>
      </w:pPr>
    </w:p>
    <w:p w:rsidR="002E78D8" w:rsidRPr="009C7448" w:rsidRDefault="002E78D8" w:rsidP="002E78D8">
      <w:pPr>
        <w:pStyle w:val="Prrafodelista"/>
        <w:ind w:left="567"/>
        <w:jc w:val="both"/>
        <w:rPr>
          <w:rFonts w:ascii="Tahoma" w:hAnsi="Tahoma" w:cs="Tahoma"/>
          <w:b/>
          <w:sz w:val="22"/>
          <w:szCs w:val="22"/>
        </w:rPr>
      </w:pPr>
      <w:r w:rsidRPr="009C7448">
        <w:rPr>
          <w:rFonts w:ascii="Tahoma" w:hAnsi="Tahoma" w:cs="Tahoma"/>
          <w:b/>
          <w:sz w:val="22"/>
          <w:szCs w:val="22"/>
        </w:rPr>
        <w:t>RESPECTO AL PRODUCTO DE LA LÍNEA DE DRENAJE – SAFE LOCK PD-NIGHT DRAÍN LINE EXTENSION</w:t>
      </w:r>
    </w:p>
    <w:p w:rsidR="002E78D8" w:rsidRDefault="002E78D8" w:rsidP="002E78D8">
      <w:pPr>
        <w:pStyle w:val="Prrafodelista"/>
        <w:ind w:left="567"/>
        <w:jc w:val="both"/>
        <w:rPr>
          <w:rFonts w:ascii="Tahoma" w:hAnsi="Tahoma" w:cs="Tahoma"/>
          <w:sz w:val="22"/>
          <w:szCs w:val="22"/>
        </w:rPr>
      </w:pPr>
    </w:p>
    <w:p w:rsidR="002E78D8" w:rsidRDefault="002E78D8" w:rsidP="002E78D8">
      <w:pPr>
        <w:pStyle w:val="Prrafodelista"/>
        <w:widowControl w:val="0"/>
        <w:numPr>
          <w:ilvl w:val="0"/>
          <w:numId w:val="13"/>
        </w:numPr>
        <w:suppressAutoHyphens/>
        <w:ind w:left="1134" w:hanging="567"/>
        <w:jc w:val="both"/>
        <w:rPr>
          <w:rFonts w:ascii="Tahoma" w:hAnsi="Tahoma" w:cs="Tahoma"/>
          <w:sz w:val="22"/>
          <w:szCs w:val="22"/>
        </w:rPr>
      </w:pPr>
      <w:r>
        <w:rPr>
          <w:rFonts w:ascii="Tahoma" w:hAnsi="Tahoma" w:cs="Tahoma"/>
          <w:sz w:val="22"/>
          <w:szCs w:val="22"/>
        </w:rPr>
        <w:t xml:space="preserve">Las Bases Integradas del proceso de selección disponían que el material </w:t>
      </w:r>
      <w:r>
        <w:rPr>
          <w:rFonts w:ascii="Tahoma" w:hAnsi="Tahoma" w:cs="Tahoma"/>
          <w:sz w:val="22"/>
          <w:szCs w:val="22"/>
        </w:rPr>
        <w:lastRenderedPageBreak/>
        <w:t>médico (línea de drenaje) debe ser estéril, término que según el Diccionario de la Real Academia de la Lengua Española, se debe entender por estéril a Libre de gérmenes y patógenos.</w:t>
      </w:r>
    </w:p>
    <w:p w:rsidR="002E78D8" w:rsidRDefault="002E78D8" w:rsidP="002E78D8">
      <w:pPr>
        <w:pStyle w:val="Prrafodelista"/>
        <w:ind w:left="1134" w:hanging="567"/>
        <w:jc w:val="both"/>
        <w:rPr>
          <w:rFonts w:ascii="Tahoma" w:hAnsi="Tahoma" w:cs="Tahoma"/>
          <w:sz w:val="22"/>
          <w:szCs w:val="22"/>
        </w:rPr>
      </w:pPr>
    </w:p>
    <w:p w:rsidR="002E78D8" w:rsidRDefault="002E78D8" w:rsidP="002E78D8">
      <w:pPr>
        <w:pStyle w:val="Prrafodelista"/>
        <w:widowControl w:val="0"/>
        <w:numPr>
          <w:ilvl w:val="0"/>
          <w:numId w:val="13"/>
        </w:numPr>
        <w:suppressAutoHyphens/>
        <w:ind w:left="1134" w:hanging="567"/>
        <w:jc w:val="both"/>
        <w:rPr>
          <w:rFonts w:ascii="Tahoma" w:hAnsi="Tahoma" w:cs="Tahoma"/>
          <w:sz w:val="22"/>
          <w:szCs w:val="22"/>
        </w:rPr>
      </w:pPr>
      <w:r>
        <w:rPr>
          <w:rFonts w:ascii="Tahoma" w:hAnsi="Tahoma" w:cs="Tahoma"/>
          <w:sz w:val="22"/>
          <w:szCs w:val="22"/>
        </w:rPr>
        <w:t>No obstante ello, el Adjudicatario consignó en el folio 83 (Declaración Jurada de la Línea de Drenaje – SAFE LOCK PD-NIGHT DRAÍN LINE EXTENSION) de su Propuesta Técnica, lo siguiente:</w:t>
      </w:r>
    </w:p>
    <w:p w:rsidR="002E78D8" w:rsidRDefault="002E78D8" w:rsidP="002E78D8">
      <w:pPr>
        <w:pStyle w:val="Prrafodelista"/>
        <w:ind w:left="567"/>
        <w:jc w:val="both"/>
        <w:rPr>
          <w:rFonts w:ascii="Tahoma" w:hAnsi="Tahoma" w:cs="Tahoma"/>
          <w:sz w:val="22"/>
          <w:szCs w:val="22"/>
        </w:rPr>
      </w:pPr>
    </w:p>
    <w:p w:rsidR="002E78D8" w:rsidRPr="009C7448" w:rsidRDefault="002E78D8" w:rsidP="002E78D8">
      <w:pPr>
        <w:pStyle w:val="Prrafodelista"/>
        <w:ind w:left="2977"/>
        <w:rPr>
          <w:rFonts w:ascii="Tahoma" w:hAnsi="Tahoma" w:cs="Tahoma"/>
          <w:i/>
          <w:sz w:val="18"/>
          <w:szCs w:val="18"/>
        </w:rPr>
      </w:pPr>
      <w:r w:rsidRPr="009C7448">
        <w:rPr>
          <w:rFonts w:ascii="Tahoma" w:hAnsi="Tahoma" w:cs="Tahoma"/>
          <w:i/>
          <w:sz w:val="18"/>
          <w:szCs w:val="18"/>
        </w:rPr>
        <w:t>“METODO DE ESTERILIZACIÓN</w:t>
      </w:r>
    </w:p>
    <w:p w:rsidR="002E78D8" w:rsidRPr="009C7448" w:rsidRDefault="002E78D8" w:rsidP="002E78D8">
      <w:pPr>
        <w:pStyle w:val="Prrafodelista"/>
        <w:ind w:left="2977"/>
        <w:rPr>
          <w:rFonts w:ascii="Tahoma" w:hAnsi="Tahoma" w:cs="Tahoma"/>
          <w:i/>
          <w:sz w:val="18"/>
          <w:szCs w:val="18"/>
        </w:rPr>
      </w:pPr>
      <w:r w:rsidRPr="009C7448">
        <w:rPr>
          <w:rFonts w:ascii="Tahoma" w:hAnsi="Tahoma" w:cs="Tahoma"/>
          <w:i/>
          <w:sz w:val="18"/>
          <w:szCs w:val="18"/>
        </w:rPr>
        <w:t>(…)</w:t>
      </w:r>
    </w:p>
    <w:p w:rsidR="002E78D8" w:rsidRPr="009C7448" w:rsidRDefault="002E78D8" w:rsidP="002E78D8">
      <w:pPr>
        <w:pStyle w:val="Prrafodelista"/>
        <w:ind w:left="2977"/>
        <w:rPr>
          <w:rFonts w:ascii="Tahoma" w:hAnsi="Tahoma" w:cs="Tahoma"/>
          <w:i/>
          <w:sz w:val="18"/>
          <w:szCs w:val="18"/>
        </w:rPr>
      </w:pPr>
    </w:p>
    <w:p w:rsidR="002E78D8" w:rsidRPr="009C7448" w:rsidRDefault="002E78D8" w:rsidP="002E78D8">
      <w:pPr>
        <w:pStyle w:val="Prrafodelista"/>
        <w:ind w:left="2977"/>
        <w:rPr>
          <w:rFonts w:ascii="Tahoma" w:hAnsi="Tahoma" w:cs="Tahoma"/>
          <w:i/>
          <w:sz w:val="18"/>
          <w:szCs w:val="18"/>
        </w:rPr>
      </w:pPr>
      <w:r w:rsidRPr="009C7448">
        <w:rPr>
          <w:rFonts w:ascii="Tahoma" w:hAnsi="Tahoma" w:cs="Tahoma"/>
          <w:i/>
          <w:sz w:val="18"/>
          <w:szCs w:val="18"/>
        </w:rPr>
        <w:t>NO APLICA”</w:t>
      </w:r>
    </w:p>
    <w:p w:rsidR="002E78D8" w:rsidRDefault="002E78D8" w:rsidP="002E78D8">
      <w:pPr>
        <w:pStyle w:val="Prrafodelista"/>
        <w:ind w:left="567"/>
        <w:jc w:val="both"/>
        <w:rPr>
          <w:rFonts w:ascii="Tahoma" w:hAnsi="Tahoma" w:cs="Tahoma"/>
          <w:sz w:val="22"/>
          <w:szCs w:val="22"/>
        </w:rPr>
      </w:pPr>
    </w:p>
    <w:p w:rsidR="002E78D8" w:rsidRDefault="002E78D8" w:rsidP="002E78D8">
      <w:pPr>
        <w:pStyle w:val="Prrafodelista"/>
        <w:widowControl w:val="0"/>
        <w:numPr>
          <w:ilvl w:val="0"/>
          <w:numId w:val="13"/>
        </w:numPr>
        <w:suppressAutoHyphens/>
        <w:ind w:left="1134" w:hanging="567"/>
        <w:jc w:val="both"/>
        <w:rPr>
          <w:rFonts w:ascii="Tahoma" w:hAnsi="Tahoma" w:cs="Tahoma"/>
          <w:sz w:val="22"/>
          <w:szCs w:val="22"/>
        </w:rPr>
      </w:pPr>
      <w:r>
        <w:rPr>
          <w:rFonts w:ascii="Tahoma" w:hAnsi="Tahoma" w:cs="Tahoma"/>
          <w:sz w:val="22"/>
          <w:szCs w:val="22"/>
        </w:rPr>
        <w:t>En tal sentido, conforme a su propia declaración, el Adjudicatario reconoció que dicho producto no cumple con la exigencia de ser estéril, por lo que no sólo incumple con las bases del proceso de selección, sino que también se está ofertando un producto que no cuenta con las condiciones mínimas de salubridad e higiene, lo que implica poner en un potencial riesgo la salud e integridad de futuros pacientes.</w:t>
      </w:r>
    </w:p>
    <w:p w:rsidR="002E78D8" w:rsidRDefault="002E78D8" w:rsidP="002E78D8">
      <w:pPr>
        <w:pStyle w:val="Prrafodelista"/>
        <w:ind w:left="1134" w:hanging="567"/>
        <w:jc w:val="both"/>
        <w:rPr>
          <w:rFonts w:ascii="Tahoma" w:hAnsi="Tahoma" w:cs="Tahoma"/>
          <w:sz w:val="22"/>
          <w:szCs w:val="22"/>
        </w:rPr>
      </w:pPr>
    </w:p>
    <w:p w:rsidR="002E78D8" w:rsidRDefault="002E78D8" w:rsidP="002E78D8">
      <w:pPr>
        <w:pStyle w:val="Prrafodelista"/>
        <w:widowControl w:val="0"/>
        <w:numPr>
          <w:ilvl w:val="0"/>
          <w:numId w:val="13"/>
        </w:numPr>
        <w:suppressAutoHyphens/>
        <w:ind w:left="1134" w:hanging="567"/>
        <w:jc w:val="both"/>
        <w:rPr>
          <w:rFonts w:ascii="Tahoma" w:hAnsi="Tahoma" w:cs="Tahoma"/>
          <w:sz w:val="22"/>
          <w:szCs w:val="22"/>
        </w:rPr>
      </w:pPr>
      <w:r>
        <w:rPr>
          <w:rFonts w:ascii="Tahoma" w:hAnsi="Tahoma" w:cs="Tahoma"/>
          <w:sz w:val="22"/>
          <w:szCs w:val="22"/>
        </w:rPr>
        <w:t>Asimismo, a folio 40 de la Propuesta del Adjudicatario, en relación a la Línea de Drenaje – SAFE LOCK PD-NIGHT DRAÍN LINE EXTENSION, respecto a las Condiciones Biológicas se consignó lo siguiente: “2.1 Estéril: Método de esterilización Vapor”; sin embargo, en el Protocolo de Análisis, obrante a fojas 106 se consignó que el producto es estéril pero el método utilizado es el OXIDO DE ETILENO.</w:t>
      </w:r>
    </w:p>
    <w:p w:rsidR="002E78D8" w:rsidRDefault="002E78D8" w:rsidP="002E78D8">
      <w:pPr>
        <w:pStyle w:val="Prrafodelista"/>
        <w:ind w:left="1134" w:hanging="567"/>
        <w:jc w:val="both"/>
        <w:rPr>
          <w:rFonts w:ascii="Tahoma" w:hAnsi="Tahoma" w:cs="Tahoma"/>
          <w:sz w:val="22"/>
          <w:szCs w:val="22"/>
        </w:rPr>
      </w:pPr>
    </w:p>
    <w:p w:rsidR="002E78D8" w:rsidRDefault="002E78D8" w:rsidP="002E78D8">
      <w:pPr>
        <w:pStyle w:val="Prrafodelista"/>
        <w:widowControl w:val="0"/>
        <w:numPr>
          <w:ilvl w:val="0"/>
          <w:numId w:val="13"/>
        </w:numPr>
        <w:suppressAutoHyphens/>
        <w:ind w:left="1134" w:hanging="567"/>
        <w:jc w:val="both"/>
        <w:rPr>
          <w:rFonts w:ascii="Tahoma" w:hAnsi="Tahoma" w:cs="Tahoma"/>
          <w:sz w:val="22"/>
          <w:szCs w:val="22"/>
        </w:rPr>
      </w:pPr>
      <w:r>
        <w:rPr>
          <w:rFonts w:ascii="Tahoma" w:hAnsi="Tahoma" w:cs="Tahoma"/>
          <w:sz w:val="22"/>
          <w:szCs w:val="22"/>
        </w:rPr>
        <w:t>De todo ello, se puede advertir que lo señalado en la propuesta técnica del  Adjudicatario es contradictorio, no solamente por lo consignado en su declaración jurada, sino también al señalar el método de esterilización que supuestamente utilizó el Adjudicatario para dicho producto.</w:t>
      </w:r>
    </w:p>
    <w:p w:rsidR="002E78D8" w:rsidRDefault="002E78D8" w:rsidP="002E78D8">
      <w:pPr>
        <w:pStyle w:val="Prrafodelista"/>
        <w:ind w:left="567"/>
        <w:jc w:val="both"/>
        <w:rPr>
          <w:rFonts w:ascii="Tahoma" w:hAnsi="Tahoma" w:cs="Tahoma"/>
          <w:sz w:val="22"/>
          <w:szCs w:val="22"/>
        </w:rPr>
      </w:pPr>
    </w:p>
    <w:p w:rsidR="002E78D8" w:rsidRPr="00E066CF" w:rsidRDefault="002E78D8" w:rsidP="002E78D8">
      <w:pPr>
        <w:pStyle w:val="Prrafodelista"/>
        <w:ind w:left="567"/>
        <w:jc w:val="both"/>
        <w:rPr>
          <w:rFonts w:ascii="Tahoma" w:hAnsi="Tahoma" w:cs="Tahoma"/>
          <w:b/>
          <w:sz w:val="22"/>
          <w:szCs w:val="22"/>
        </w:rPr>
      </w:pPr>
      <w:r w:rsidRPr="00E066CF">
        <w:rPr>
          <w:rFonts w:ascii="Tahoma" w:hAnsi="Tahoma" w:cs="Tahoma"/>
          <w:b/>
          <w:sz w:val="22"/>
          <w:szCs w:val="22"/>
        </w:rPr>
        <w:t>RESPECTO AL PRODUCTO OBTURADOR</w:t>
      </w:r>
    </w:p>
    <w:p w:rsidR="002E78D8" w:rsidRDefault="002E78D8" w:rsidP="002E78D8">
      <w:pPr>
        <w:pStyle w:val="Prrafodelista"/>
        <w:ind w:left="567"/>
        <w:jc w:val="both"/>
        <w:rPr>
          <w:rFonts w:ascii="Tahoma" w:hAnsi="Tahoma" w:cs="Tahoma"/>
          <w:sz w:val="22"/>
          <w:szCs w:val="22"/>
        </w:rPr>
      </w:pPr>
    </w:p>
    <w:p w:rsidR="002E78D8" w:rsidRDefault="002E78D8" w:rsidP="002E78D8">
      <w:pPr>
        <w:pStyle w:val="Prrafodelista"/>
        <w:ind w:left="567"/>
        <w:jc w:val="both"/>
        <w:rPr>
          <w:rFonts w:ascii="Tahoma" w:hAnsi="Tahoma" w:cs="Tahoma"/>
          <w:sz w:val="22"/>
          <w:szCs w:val="22"/>
        </w:rPr>
      </w:pPr>
      <w:r>
        <w:rPr>
          <w:rFonts w:ascii="Tahoma" w:hAnsi="Tahoma" w:cs="Tahoma"/>
          <w:sz w:val="22"/>
          <w:szCs w:val="22"/>
        </w:rPr>
        <w:t xml:space="preserve">El adjudicatario declaró a folios 28 de su propuesta, que el obturador no aplicaba para el método de esterilización; por lo tanto, reconocía que su producto no cumplía con las especificaciones de las bases del proceso de selección; no obstante ello, a folios 30 de su misma propuesta, señaló que dicho producto si era estéril por el método del óxido de etileno, sin embargo, a folios 92 señaló que su producto está etiquetado como estéril ya que no ha sido esterilizado por medio de óxido de etileno (…) Pero debido al hecho de que el tapón (…) contiene un desinfectante basado en yodopolividona, la esterilización del producto no es necesaria para el uso indicado del mismo, por lo tanto, lo señalado por la Adjudicataria caen en una insalvable contradicción y, además, también contravendría el Principio de Moralidad, toda vez que han realizado una declaración no acorde a la verdad de su propuesta. </w:t>
      </w:r>
    </w:p>
    <w:p w:rsidR="002E78D8" w:rsidRDefault="002E78D8" w:rsidP="002E78D8">
      <w:pPr>
        <w:pStyle w:val="Prrafodelista"/>
        <w:ind w:left="567"/>
        <w:jc w:val="both"/>
        <w:rPr>
          <w:rFonts w:ascii="Tahoma" w:hAnsi="Tahoma" w:cs="Tahoma"/>
          <w:sz w:val="22"/>
          <w:szCs w:val="22"/>
        </w:rPr>
      </w:pPr>
    </w:p>
    <w:p w:rsidR="002E78D8" w:rsidRPr="00E066CF" w:rsidRDefault="002E78D8" w:rsidP="002E78D8">
      <w:pPr>
        <w:pStyle w:val="Prrafodelista"/>
        <w:ind w:left="567"/>
        <w:jc w:val="both"/>
        <w:rPr>
          <w:rFonts w:ascii="Tahoma" w:hAnsi="Tahoma" w:cs="Tahoma"/>
          <w:b/>
          <w:sz w:val="22"/>
          <w:szCs w:val="22"/>
        </w:rPr>
      </w:pPr>
      <w:r w:rsidRPr="00E066CF">
        <w:rPr>
          <w:rFonts w:ascii="Tahoma" w:hAnsi="Tahoma" w:cs="Tahoma"/>
          <w:b/>
          <w:sz w:val="22"/>
          <w:szCs w:val="22"/>
        </w:rPr>
        <w:t>RESPECTO A QUE NO SE HA SEÑALADO PLAZO DE ENTREGA PARA LAS MÁQUINAS CICLADORAS PD NIGHT</w:t>
      </w:r>
    </w:p>
    <w:p w:rsidR="002E78D8" w:rsidRDefault="002E78D8" w:rsidP="002E78D8">
      <w:pPr>
        <w:pStyle w:val="Prrafodelista"/>
        <w:ind w:left="567"/>
        <w:jc w:val="both"/>
        <w:rPr>
          <w:rFonts w:ascii="Tahoma" w:hAnsi="Tahoma" w:cs="Tahoma"/>
          <w:sz w:val="22"/>
          <w:szCs w:val="22"/>
        </w:rPr>
      </w:pPr>
    </w:p>
    <w:p w:rsidR="002E78D8" w:rsidRDefault="002E78D8" w:rsidP="002E78D8">
      <w:pPr>
        <w:pStyle w:val="Prrafodelista"/>
        <w:widowControl w:val="0"/>
        <w:numPr>
          <w:ilvl w:val="0"/>
          <w:numId w:val="14"/>
        </w:numPr>
        <w:suppressAutoHyphens/>
        <w:ind w:left="1134" w:hanging="567"/>
        <w:jc w:val="both"/>
        <w:rPr>
          <w:rFonts w:ascii="Tahoma" w:hAnsi="Tahoma" w:cs="Tahoma"/>
          <w:sz w:val="22"/>
          <w:szCs w:val="22"/>
        </w:rPr>
      </w:pPr>
      <w:r>
        <w:rPr>
          <w:rFonts w:ascii="Tahoma" w:hAnsi="Tahoma" w:cs="Tahoma"/>
          <w:sz w:val="22"/>
          <w:szCs w:val="22"/>
        </w:rPr>
        <w:t>La Diálisis Peritoneal Automatizada es una terapia donde los cambios de solución de diálisis se llevan a cabo durante la noche a través de una máquina cicladora, por lo tanto, los insumos utilizados para la terapia no pueden ser usados sin dicha máquina.</w:t>
      </w:r>
    </w:p>
    <w:p w:rsidR="002E78D8" w:rsidRDefault="002E78D8" w:rsidP="002E78D8">
      <w:pPr>
        <w:pStyle w:val="Prrafodelista"/>
        <w:ind w:left="1134" w:hanging="567"/>
        <w:jc w:val="both"/>
        <w:rPr>
          <w:rFonts w:ascii="Tahoma" w:hAnsi="Tahoma" w:cs="Tahoma"/>
          <w:sz w:val="22"/>
          <w:szCs w:val="22"/>
        </w:rPr>
      </w:pPr>
    </w:p>
    <w:p w:rsidR="002E78D8" w:rsidRDefault="002E78D8" w:rsidP="002E78D8">
      <w:pPr>
        <w:pStyle w:val="Prrafodelista"/>
        <w:widowControl w:val="0"/>
        <w:numPr>
          <w:ilvl w:val="0"/>
          <w:numId w:val="14"/>
        </w:numPr>
        <w:suppressAutoHyphens/>
        <w:ind w:left="1134" w:hanging="567"/>
        <w:jc w:val="both"/>
        <w:rPr>
          <w:rFonts w:ascii="Tahoma" w:hAnsi="Tahoma" w:cs="Tahoma"/>
          <w:sz w:val="22"/>
          <w:szCs w:val="22"/>
        </w:rPr>
      </w:pPr>
      <w:r>
        <w:rPr>
          <w:rFonts w:ascii="Tahoma" w:hAnsi="Tahoma" w:cs="Tahoma"/>
          <w:sz w:val="22"/>
          <w:szCs w:val="22"/>
        </w:rPr>
        <w:t>Ahora bien, a fojas 490 de la propuesta del Adjudicatario consta la Carta de Compromiso de Plazo de Entrega de los Equipos en Cesión de Uso, en la que se señaló que se “entregará 45 (cuarentaicinco) cicladoras PD NIGHT en 05 (cinco) días calendarios posteriores a la recepción de la orden de compra correspondiente”, en tal sentido, se puede advertir que el Adjudicatario ofrece entregar dichas máquinas en un plazo mayor a la entrega de las soluciones y material médico, con lo cual los pacientes no podrán tener una terapia adecuada.</w:t>
      </w:r>
    </w:p>
    <w:p w:rsidR="002E78D8" w:rsidRDefault="002E78D8" w:rsidP="002E78D8">
      <w:pPr>
        <w:pStyle w:val="Prrafodelista"/>
        <w:ind w:left="1134" w:hanging="567"/>
        <w:jc w:val="both"/>
        <w:rPr>
          <w:rFonts w:ascii="Tahoma" w:hAnsi="Tahoma" w:cs="Tahoma"/>
          <w:sz w:val="22"/>
          <w:szCs w:val="22"/>
        </w:rPr>
      </w:pPr>
    </w:p>
    <w:p w:rsidR="002E78D8" w:rsidRDefault="002E78D8" w:rsidP="002E78D8">
      <w:pPr>
        <w:pStyle w:val="Prrafodelista"/>
        <w:widowControl w:val="0"/>
        <w:numPr>
          <w:ilvl w:val="0"/>
          <w:numId w:val="14"/>
        </w:numPr>
        <w:suppressAutoHyphens/>
        <w:ind w:left="1134" w:hanging="567"/>
        <w:jc w:val="both"/>
        <w:rPr>
          <w:rFonts w:ascii="Tahoma" w:hAnsi="Tahoma" w:cs="Tahoma"/>
          <w:sz w:val="22"/>
          <w:szCs w:val="22"/>
        </w:rPr>
      </w:pPr>
      <w:r>
        <w:rPr>
          <w:rFonts w:ascii="Tahoma" w:hAnsi="Tahoma" w:cs="Tahoma"/>
          <w:sz w:val="22"/>
          <w:szCs w:val="22"/>
        </w:rPr>
        <w:t>Asimismo, se indicó que las máquinas se entregaran en cinco días luego de recibida la orden de compra correspondiente; no obstante ello, se debe señalar que las máquinas cicladoras son entregadas en cesión de uso por lo que no existiría orden de compra, en todo caso, si se refiere a la orden de compra de las soluciones y material médico, debió indicarse a que orden de compra se refiere, ya que tal como consta en el Capítulo IV A, existen diversas entregas a lo largo de un año, que se reflejan en diferentes órdenes de compra por cada requerimiento.</w:t>
      </w:r>
    </w:p>
    <w:p w:rsidR="002E78D8" w:rsidRDefault="002E78D8" w:rsidP="002E78D8">
      <w:pPr>
        <w:pStyle w:val="Prrafodelista"/>
        <w:ind w:left="567"/>
        <w:jc w:val="both"/>
        <w:rPr>
          <w:rFonts w:ascii="Tahoma" w:hAnsi="Tahoma" w:cs="Tahoma"/>
          <w:sz w:val="22"/>
          <w:szCs w:val="22"/>
        </w:rPr>
      </w:pPr>
    </w:p>
    <w:p w:rsidR="002E78D8" w:rsidRPr="00F63B28" w:rsidRDefault="002E78D8" w:rsidP="002E78D8">
      <w:pPr>
        <w:pStyle w:val="Prrafodelista"/>
        <w:ind w:left="567"/>
        <w:jc w:val="both"/>
        <w:rPr>
          <w:rFonts w:ascii="Tahoma" w:hAnsi="Tahoma" w:cs="Tahoma"/>
          <w:b/>
          <w:sz w:val="22"/>
          <w:szCs w:val="22"/>
        </w:rPr>
      </w:pPr>
      <w:r w:rsidRPr="00F63B28">
        <w:rPr>
          <w:rFonts w:ascii="Tahoma" w:hAnsi="Tahoma" w:cs="Tahoma"/>
          <w:b/>
          <w:sz w:val="22"/>
          <w:szCs w:val="22"/>
        </w:rPr>
        <w:t>RESPECTO A LA ANTIGÜEDAD DE LAS MÁQUINAS CICLADORAS PD NIGHT</w:t>
      </w:r>
    </w:p>
    <w:p w:rsidR="002E78D8" w:rsidRDefault="002E78D8" w:rsidP="002E78D8">
      <w:pPr>
        <w:pStyle w:val="Prrafodelista"/>
        <w:ind w:left="567"/>
        <w:jc w:val="both"/>
        <w:rPr>
          <w:rFonts w:ascii="Tahoma" w:hAnsi="Tahoma" w:cs="Tahoma"/>
          <w:sz w:val="22"/>
          <w:szCs w:val="22"/>
        </w:rPr>
      </w:pPr>
    </w:p>
    <w:p w:rsidR="002E78D8" w:rsidRDefault="002E78D8" w:rsidP="002E78D8">
      <w:pPr>
        <w:pStyle w:val="Prrafodelista"/>
        <w:ind w:left="567"/>
        <w:jc w:val="both"/>
        <w:rPr>
          <w:rFonts w:ascii="Tahoma" w:hAnsi="Tahoma" w:cs="Tahoma"/>
          <w:sz w:val="22"/>
          <w:szCs w:val="22"/>
        </w:rPr>
      </w:pPr>
      <w:r>
        <w:rPr>
          <w:rFonts w:ascii="Tahoma" w:hAnsi="Tahoma" w:cs="Tahoma"/>
          <w:sz w:val="22"/>
          <w:szCs w:val="22"/>
        </w:rPr>
        <w:t>En los folios 46 a 50 de la Propuesta Técnica del Adjudicatario, referida a las especificaciones técnicas de la Máquina Cicladora PD NIGHT Equipo para Diálisis Peritoneal Automatizado, no se indicó la antigüedad de los equipos, accesorios y complementos, condición que es exigida en el folio 47 de las Bases, que establece que dicho material debía tener una antigüedad no mayor a 3 años.</w:t>
      </w:r>
    </w:p>
    <w:p w:rsidR="002E78D8" w:rsidRDefault="002E78D8" w:rsidP="002E78D8">
      <w:pPr>
        <w:pStyle w:val="Prrafodelista"/>
        <w:ind w:left="567"/>
        <w:jc w:val="both"/>
        <w:rPr>
          <w:rFonts w:ascii="Tahoma" w:hAnsi="Tahoma" w:cs="Tahoma"/>
          <w:sz w:val="22"/>
          <w:szCs w:val="22"/>
        </w:rPr>
      </w:pPr>
    </w:p>
    <w:p w:rsidR="002E78D8" w:rsidRPr="00132D54" w:rsidRDefault="002E78D8" w:rsidP="002E78D8">
      <w:pPr>
        <w:pStyle w:val="Prrafodelista"/>
        <w:ind w:left="567"/>
        <w:jc w:val="both"/>
        <w:rPr>
          <w:rFonts w:ascii="Tahoma" w:hAnsi="Tahoma" w:cs="Tahoma"/>
          <w:b/>
          <w:sz w:val="22"/>
          <w:szCs w:val="22"/>
        </w:rPr>
      </w:pPr>
      <w:r w:rsidRPr="00132D54">
        <w:rPr>
          <w:rFonts w:ascii="Tahoma" w:hAnsi="Tahoma" w:cs="Tahoma"/>
          <w:b/>
          <w:sz w:val="22"/>
          <w:szCs w:val="22"/>
        </w:rPr>
        <w:t>RESPECTO A LA NO PRESENTACIÓN DE LA POLIZA DE SEGURO DE LOS EQUIPOS EN CESIÓN DE USO</w:t>
      </w:r>
    </w:p>
    <w:p w:rsidR="002E78D8" w:rsidRDefault="002E78D8" w:rsidP="002E78D8">
      <w:pPr>
        <w:pStyle w:val="Prrafodelista"/>
        <w:ind w:left="567"/>
        <w:jc w:val="both"/>
        <w:rPr>
          <w:rFonts w:ascii="Tahoma" w:hAnsi="Tahoma" w:cs="Tahoma"/>
          <w:sz w:val="22"/>
          <w:szCs w:val="22"/>
        </w:rPr>
      </w:pPr>
    </w:p>
    <w:p w:rsidR="002E78D8" w:rsidRDefault="002E78D8" w:rsidP="002E78D8">
      <w:pPr>
        <w:pStyle w:val="Prrafodelista"/>
        <w:ind w:left="567"/>
        <w:jc w:val="both"/>
        <w:rPr>
          <w:rFonts w:ascii="Tahoma" w:hAnsi="Tahoma" w:cs="Tahoma"/>
          <w:sz w:val="22"/>
          <w:szCs w:val="22"/>
        </w:rPr>
      </w:pPr>
      <w:r>
        <w:rPr>
          <w:rFonts w:ascii="Tahoma" w:hAnsi="Tahoma" w:cs="Tahoma"/>
          <w:sz w:val="22"/>
          <w:szCs w:val="22"/>
        </w:rPr>
        <w:t>El Adjudicatario no ha cumplido con presentar la póliza de seguro, exigida en el folio 47 de las Bases, toda vez que sólo señaló en el folio 490 de su Propuesta Técnica que “presentaran (…) una póliza de seguros que ampare los equipos en cesión de uso dando cobertura contra robos, incendio, siniestro, responsabilidad civil contra terceros u otros”</w:t>
      </w:r>
    </w:p>
    <w:p w:rsidR="002E78D8" w:rsidRDefault="002E78D8" w:rsidP="002E78D8">
      <w:pPr>
        <w:pStyle w:val="Prrafodelista"/>
        <w:ind w:left="567"/>
        <w:jc w:val="both"/>
        <w:rPr>
          <w:rFonts w:ascii="Tahoma" w:hAnsi="Tahoma" w:cs="Tahoma"/>
          <w:sz w:val="22"/>
          <w:szCs w:val="22"/>
        </w:rPr>
      </w:pPr>
    </w:p>
    <w:p w:rsidR="002E78D8" w:rsidRPr="00132D54" w:rsidRDefault="002E78D8" w:rsidP="002E78D8">
      <w:pPr>
        <w:pStyle w:val="Prrafodelista"/>
        <w:ind w:left="567"/>
        <w:jc w:val="both"/>
        <w:rPr>
          <w:rFonts w:ascii="Tahoma" w:hAnsi="Tahoma" w:cs="Tahoma"/>
          <w:b/>
          <w:sz w:val="22"/>
          <w:szCs w:val="22"/>
        </w:rPr>
      </w:pPr>
      <w:r w:rsidRPr="00132D54">
        <w:rPr>
          <w:rFonts w:ascii="Tahoma" w:hAnsi="Tahoma" w:cs="Tahoma"/>
          <w:b/>
          <w:sz w:val="22"/>
          <w:szCs w:val="22"/>
        </w:rPr>
        <w:lastRenderedPageBreak/>
        <w:t>RESPECTO A LA NO PRESENTACIÓN DE LA CERTIFICACIÓN DEL PERSONAL DE MANTENIMIENTO DE LOS EQUIPOS</w:t>
      </w:r>
    </w:p>
    <w:p w:rsidR="002E78D8" w:rsidRDefault="002E78D8" w:rsidP="002E78D8">
      <w:pPr>
        <w:pStyle w:val="Prrafodelista"/>
        <w:ind w:left="567"/>
        <w:jc w:val="both"/>
        <w:rPr>
          <w:rFonts w:ascii="Tahoma" w:hAnsi="Tahoma" w:cs="Tahoma"/>
          <w:sz w:val="22"/>
          <w:szCs w:val="22"/>
        </w:rPr>
      </w:pPr>
    </w:p>
    <w:p w:rsidR="002E78D8" w:rsidRDefault="002E78D8" w:rsidP="002E78D8">
      <w:pPr>
        <w:pStyle w:val="Prrafodelista"/>
        <w:widowControl w:val="0"/>
        <w:numPr>
          <w:ilvl w:val="0"/>
          <w:numId w:val="15"/>
        </w:numPr>
        <w:suppressAutoHyphens/>
        <w:ind w:left="1134" w:hanging="567"/>
        <w:jc w:val="both"/>
        <w:rPr>
          <w:rFonts w:ascii="Tahoma" w:hAnsi="Tahoma" w:cs="Tahoma"/>
          <w:sz w:val="22"/>
          <w:szCs w:val="22"/>
        </w:rPr>
      </w:pPr>
      <w:r>
        <w:rPr>
          <w:rFonts w:ascii="Tahoma" w:hAnsi="Tahoma" w:cs="Tahoma"/>
          <w:sz w:val="22"/>
          <w:szCs w:val="22"/>
        </w:rPr>
        <w:t>El Adjudicatario no presentó la certificación de su personal de mantenimiento, conforme lo exigían las Bases, toda vez que sólo presentó una Declaración Jurada de información de Soporte Técnico en la que se indican la especialidad que tienen.</w:t>
      </w:r>
    </w:p>
    <w:p w:rsidR="002E78D8" w:rsidRDefault="002E78D8" w:rsidP="002E78D8">
      <w:pPr>
        <w:pStyle w:val="Prrafodelista"/>
        <w:ind w:left="1134" w:hanging="567"/>
        <w:jc w:val="both"/>
        <w:rPr>
          <w:rFonts w:ascii="Tahoma" w:hAnsi="Tahoma" w:cs="Tahoma"/>
          <w:sz w:val="22"/>
          <w:szCs w:val="22"/>
        </w:rPr>
      </w:pPr>
    </w:p>
    <w:p w:rsidR="002E78D8" w:rsidRDefault="002E78D8" w:rsidP="002E78D8">
      <w:pPr>
        <w:pStyle w:val="Prrafodelista"/>
        <w:widowControl w:val="0"/>
        <w:numPr>
          <w:ilvl w:val="0"/>
          <w:numId w:val="15"/>
        </w:numPr>
        <w:suppressAutoHyphens/>
        <w:ind w:left="1134" w:hanging="567"/>
        <w:jc w:val="both"/>
        <w:rPr>
          <w:rFonts w:ascii="Tahoma" w:hAnsi="Tahoma" w:cs="Tahoma"/>
          <w:sz w:val="22"/>
          <w:szCs w:val="22"/>
        </w:rPr>
      </w:pPr>
      <w:r>
        <w:rPr>
          <w:rFonts w:ascii="Tahoma" w:hAnsi="Tahoma" w:cs="Tahoma"/>
          <w:sz w:val="22"/>
          <w:szCs w:val="22"/>
        </w:rPr>
        <w:t>En tal sentido, la presentación de dicha declaración, no subsana la omisión de la presentación de la Certificación del personal de mantenimiento de los equipos, accesorios y complementos, que acredite que el personal propuesto se encuentra debidamente calificado para brindar un servicio óptimo, toda vez que lo dicho anteriormente, sólo se puede verificar presentando dichos certificados o títulos profesionales, que acrediten que el personal puede llevar a cabo un adecuado servicio técnico a los equipos cedido en cesión de uso.</w:t>
      </w:r>
    </w:p>
    <w:p w:rsidR="002E78D8" w:rsidRDefault="002E78D8" w:rsidP="002E78D8">
      <w:pPr>
        <w:pStyle w:val="Prrafodelista"/>
        <w:ind w:left="567"/>
        <w:jc w:val="both"/>
        <w:rPr>
          <w:rFonts w:ascii="Tahoma" w:hAnsi="Tahoma" w:cs="Tahoma"/>
          <w:sz w:val="22"/>
          <w:szCs w:val="22"/>
        </w:rPr>
      </w:pPr>
    </w:p>
    <w:p w:rsidR="002E78D8" w:rsidRPr="00132D54" w:rsidRDefault="002E78D8" w:rsidP="002E78D8">
      <w:pPr>
        <w:pStyle w:val="Prrafodelista"/>
        <w:ind w:left="567"/>
        <w:jc w:val="both"/>
        <w:rPr>
          <w:rFonts w:ascii="Tahoma" w:hAnsi="Tahoma" w:cs="Tahoma"/>
          <w:b/>
          <w:sz w:val="22"/>
          <w:szCs w:val="22"/>
        </w:rPr>
      </w:pPr>
      <w:r w:rsidRPr="00132D54">
        <w:rPr>
          <w:rFonts w:ascii="Tahoma" w:hAnsi="Tahoma" w:cs="Tahoma"/>
          <w:b/>
          <w:sz w:val="22"/>
          <w:szCs w:val="22"/>
        </w:rPr>
        <w:t>SOBRE LA NULIDAD DEL ACTO ADMNISTRATIVO DE OTORGAMIENTO DE LA BUENA PRO</w:t>
      </w:r>
    </w:p>
    <w:p w:rsidR="002E78D8" w:rsidRDefault="002E78D8" w:rsidP="002E78D8">
      <w:pPr>
        <w:pStyle w:val="Prrafodelista"/>
        <w:ind w:left="567"/>
        <w:jc w:val="both"/>
        <w:rPr>
          <w:rFonts w:ascii="Tahoma" w:hAnsi="Tahoma" w:cs="Tahoma"/>
          <w:sz w:val="22"/>
          <w:szCs w:val="22"/>
        </w:rPr>
      </w:pPr>
    </w:p>
    <w:p w:rsidR="002E78D8" w:rsidRDefault="002E78D8" w:rsidP="002E78D8">
      <w:pPr>
        <w:pStyle w:val="Prrafodelista"/>
        <w:ind w:left="567"/>
        <w:jc w:val="both"/>
        <w:rPr>
          <w:rFonts w:ascii="Tahoma" w:hAnsi="Tahoma" w:cs="Tahoma"/>
          <w:sz w:val="22"/>
          <w:szCs w:val="22"/>
        </w:rPr>
      </w:pPr>
      <w:r>
        <w:rPr>
          <w:rFonts w:ascii="Tahoma" w:hAnsi="Tahoma" w:cs="Tahoma"/>
          <w:sz w:val="22"/>
          <w:szCs w:val="22"/>
        </w:rPr>
        <w:t>El Impugnante solicitó la nulidad del acto de calificación de propuestas técnicas, apertura de sobres económicos y otorgamiento de la Buena Pro, al indicar que carece de motivación, toda vez que no explica las razones o fundamentos por los cuales su propuesta técnica fue descalificada y no obtuvo puntaje en los factores de “Experiencia del Postor” y “Cumplimiento de la Prestación”, por lo tanto, se debe tener en cuenta que es un deber de la administración pública fundamentar los actos administrativos que expidan, por cuanto ello es una garantía del respeto a los derechos de los administrados, en tal sentido, el Comité Especial debió señalar las razones que motivaron la descalificación de su propuesta técnica, más aún, teniendo en consideración que su propuesta cumplió con todos los requisitos y criterios de evaluación establecidos en las Bases Integradas del proceso de selección, debiendo el Comité Especial descalificar la propuesta de la Adjudicataria al no cumplir con varios de los requisitos establecidos en las Bases.</w:t>
      </w:r>
    </w:p>
    <w:p w:rsidR="002E78D8" w:rsidRPr="007E0F4C" w:rsidRDefault="002E78D8" w:rsidP="002E78D8">
      <w:pPr>
        <w:pStyle w:val="Prrafodelista"/>
        <w:ind w:left="567"/>
        <w:contextualSpacing/>
        <w:jc w:val="both"/>
        <w:rPr>
          <w:rFonts w:ascii="Tahoma" w:hAnsi="Tahoma" w:cs="Tahoma"/>
          <w:sz w:val="22"/>
          <w:szCs w:val="22"/>
          <w:lang w:val="es-PE"/>
        </w:rPr>
      </w:pPr>
    </w:p>
    <w:p w:rsidR="002E78D8" w:rsidRPr="003D7AA4" w:rsidRDefault="002E78D8" w:rsidP="002E78D8">
      <w:pPr>
        <w:pStyle w:val="Prrafodelista"/>
        <w:numPr>
          <w:ilvl w:val="0"/>
          <w:numId w:val="3"/>
        </w:numPr>
        <w:tabs>
          <w:tab w:val="clear" w:pos="360"/>
          <w:tab w:val="num" w:pos="567"/>
        </w:tabs>
        <w:ind w:left="567" w:hanging="567"/>
        <w:contextualSpacing/>
        <w:jc w:val="both"/>
        <w:rPr>
          <w:rFonts w:ascii="Tahoma" w:hAnsi="Tahoma" w:cs="Tahoma"/>
          <w:sz w:val="22"/>
          <w:szCs w:val="22"/>
          <w:lang w:val="es-PE"/>
        </w:rPr>
      </w:pPr>
      <w:r>
        <w:rPr>
          <w:rFonts w:ascii="Tahoma" w:hAnsi="Tahoma" w:cs="Tahoma"/>
          <w:sz w:val="22"/>
          <w:szCs w:val="22"/>
        </w:rPr>
        <w:t>A través del decreto de fecha</w:t>
      </w:r>
      <w:r w:rsidRPr="00BD1B99">
        <w:rPr>
          <w:rFonts w:ascii="Tahoma" w:hAnsi="Tahoma" w:cs="Tahoma"/>
          <w:sz w:val="22"/>
          <w:szCs w:val="22"/>
        </w:rPr>
        <w:t xml:space="preserve"> 02 de febrero de 2011, se admite a trámite el Recurso de Apelación y se emplazó a la Entidad para que remita los antecedentes administrativos relativos al proceso de selección.</w:t>
      </w:r>
    </w:p>
    <w:p w:rsidR="002E78D8" w:rsidRPr="003D7AA4" w:rsidRDefault="002E78D8" w:rsidP="002E78D8">
      <w:pPr>
        <w:pStyle w:val="Prrafodelista"/>
        <w:ind w:left="567"/>
        <w:contextualSpacing/>
        <w:jc w:val="both"/>
        <w:rPr>
          <w:rFonts w:ascii="Tahoma" w:hAnsi="Tahoma" w:cs="Tahoma"/>
          <w:sz w:val="22"/>
          <w:szCs w:val="22"/>
          <w:lang w:val="es-PE"/>
        </w:rPr>
      </w:pPr>
    </w:p>
    <w:p w:rsidR="002E78D8" w:rsidRDefault="002E78D8" w:rsidP="002E78D8">
      <w:pPr>
        <w:pStyle w:val="Prrafodelista"/>
        <w:numPr>
          <w:ilvl w:val="0"/>
          <w:numId w:val="3"/>
        </w:numPr>
        <w:tabs>
          <w:tab w:val="clear" w:pos="360"/>
          <w:tab w:val="num" w:pos="567"/>
        </w:tabs>
        <w:ind w:left="567" w:hanging="567"/>
        <w:contextualSpacing/>
        <w:jc w:val="both"/>
        <w:rPr>
          <w:rFonts w:ascii="Tahoma" w:hAnsi="Tahoma" w:cs="Tahoma"/>
          <w:sz w:val="22"/>
          <w:szCs w:val="22"/>
          <w:lang w:val="es-PE"/>
        </w:rPr>
      </w:pPr>
      <w:r>
        <w:rPr>
          <w:rFonts w:ascii="Tahoma" w:hAnsi="Tahoma" w:cs="Tahoma"/>
          <w:sz w:val="22"/>
          <w:szCs w:val="22"/>
          <w:lang w:val="es-PE"/>
        </w:rPr>
        <w:t>Con decreto de fecha 04 de febrero de 2011, se tuvo por apersonado al Adjudicatario como Tercero Administrado, en atención a la solicitud realizada mediante el escrito presentado el 03 de de febrero del 2011.</w:t>
      </w:r>
    </w:p>
    <w:p w:rsidR="002E78D8" w:rsidRDefault="002E78D8" w:rsidP="002E78D8">
      <w:pPr>
        <w:pStyle w:val="Prrafodelista"/>
        <w:rPr>
          <w:rFonts w:ascii="Tahoma" w:hAnsi="Tahoma" w:cs="Tahoma"/>
          <w:sz w:val="22"/>
          <w:szCs w:val="22"/>
          <w:lang w:val="es-PE"/>
        </w:rPr>
      </w:pPr>
    </w:p>
    <w:p w:rsidR="002E78D8" w:rsidRPr="00E47226" w:rsidRDefault="002E78D8" w:rsidP="002E78D8">
      <w:pPr>
        <w:pStyle w:val="Prrafodelista"/>
        <w:numPr>
          <w:ilvl w:val="0"/>
          <w:numId w:val="3"/>
        </w:numPr>
        <w:tabs>
          <w:tab w:val="clear" w:pos="360"/>
          <w:tab w:val="num" w:pos="567"/>
        </w:tabs>
        <w:ind w:left="567" w:hanging="567"/>
        <w:contextualSpacing/>
        <w:jc w:val="both"/>
        <w:rPr>
          <w:rFonts w:ascii="Tahoma" w:hAnsi="Tahoma" w:cs="Tahoma"/>
          <w:sz w:val="22"/>
          <w:szCs w:val="22"/>
          <w:lang w:val="es-PE"/>
        </w:rPr>
      </w:pPr>
      <w:r>
        <w:rPr>
          <w:rFonts w:ascii="Tahoma" w:hAnsi="Tahoma" w:cs="Tahoma"/>
          <w:sz w:val="22"/>
          <w:szCs w:val="22"/>
          <w:lang w:val="es-PE"/>
        </w:rPr>
        <w:t xml:space="preserve">A través del escrito presentado el 10 de febrero del 2011, la Entidad solicitó un plazo adicional de 03 días, a fin de presentar lo requerido por el </w:t>
      </w:r>
      <w:r>
        <w:rPr>
          <w:rFonts w:ascii="Tahoma" w:hAnsi="Tahoma" w:cs="Tahoma"/>
          <w:sz w:val="22"/>
          <w:szCs w:val="22"/>
        </w:rPr>
        <w:t>decreto de fecha</w:t>
      </w:r>
      <w:r w:rsidRPr="00BD1B99">
        <w:rPr>
          <w:rFonts w:ascii="Tahoma" w:hAnsi="Tahoma" w:cs="Tahoma"/>
          <w:sz w:val="22"/>
          <w:szCs w:val="22"/>
        </w:rPr>
        <w:t xml:space="preserve"> 02 de febrero de 2011</w:t>
      </w:r>
      <w:r>
        <w:rPr>
          <w:rFonts w:ascii="Tahoma" w:hAnsi="Tahoma" w:cs="Tahoma"/>
          <w:sz w:val="22"/>
          <w:szCs w:val="22"/>
        </w:rPr>
        <w:t>.</w:t>
      </w:r>
    </w:p>
    <w:p w:rsidR="002E78D8" w:rsidRDefault="002E78D8" w:rsidP="002E78D8">
      <w:pPr>
        <w:pStyle w:val="Prrafodelista"/>
        <w:rPr>
          <w:rFonts w:ascii="Tahoma" w:hAnsi="Tahoma" w:cs="Tahoma"/>
          <w:sz w:val="22"/>
          <w:szCs w:val="22"/>
          <w:lang w:val="es-PE"/>
        </w:rPr>
      </w:pPr>
    </w:p>
    <w:p w:rsidR="002E78D8" w:rsidRPr="00BD1B99" w:rsidRDefault="002E78D8" w:rsidP="002E78D8">
      <w:pPr>
        <w:pStyle w:val="Prrafodelista"/>
        <w:numPr>
          <w:ilvl w:val="0"/>
          <w:numId w:val="3"/>
        </w:numPr>
        <w:tabs>
          <w:tab w:val="clear" w:pos="360"/>
          <w:tab w:val="num" w:pos="567"/>
        </w:tabs>
        <w:ind w:left="567" w:hanging="567"/>
        <w:contextualSpacing/>
        <w:jc w:val="both"/>
        <w:rPr>
          <w:rFonts w:ascii="Tahoma" w:hAnsi="Tahoma" w:cs="Tahoma"/>
          <w:sz w:val="22"/>
          <w:szCs w:val="22"/>
          <w:lang w:val="es-PE"/>
        </w:rPr>
      </w:pPr>
      <w:r>
        <w:rPr>
          <w:rFonts w:ascii="Tahoma" w:hAnsi="Tahoma" w:cs="Tahoma"/>
          <w:sz w:val="22"/>
          <w:szCs w:val="22"/>
          <w:lang w:val="es-PE"/>
        </w:rPr>
        <w:t>Mediante decreto de fecha 16 de febrero del 2011, se otorgó el plazo adicional solicitado por la Entidad.</w:t>
      </w:r>
    </w:p>
    <w:p w:rsidR="002E78D8" w:rsidRPr="007E0F4C" w:rsidRDefault="002E78D8" w:rsidP="002E78D8">
      <w:pPr>
        <w:pStyle w:val="Prrafodelista"/>
        <w:ind w:left="567"/>
        <w:jc w:val="both"/>
        <w:rPr>
          <w:rFonts w:ascii="Tahoma" w:hAnsi="Tahoma" w:cs="Tahoma"/>
          <w:sz w:val="22"/>
          <w:szCs w:val="22"/>
          <w:lang w:val="es-PE"/>
        </w:rPr>
      </w:pPr>
    </w:p>
    <w:p w:rsidR="002E78D8" w:rsidRDefault="002E78D8" w:rsidP="002E78D8">
      <w:pPr>
        <w:numPr>
          <w:ilvl w:val="0"/>
          <w:numId w:val="3"/>
        </w:numPr>
        <w:tabs>
          <w:tab w:val="clear" w:pos="360"/>
          <w:tab w:val="num" w:pos="180"/>
        </w:tabs>
        <w:ind w:left="540" w:hanging="540"/>
        <w:jc w:val="both"/>
        <w:rPr>
          <w:rFonts w:ascii="Tahoma" w:hAnsi="Tahoma" w:cs="Tahoma"/>
          <w:sz w:val="22"/>
          <w:szCs w:val="22"/>
        </w:rPr>
      </w:pPr>
      <w:r w:rsidRPr="00EA4950">
        <w:rPr>
          <w:rFonts w:ascii="Tahoma" w:hAnsi="Tahoma" w:cs="Tahoma"/>
          <w:sz w:val="22"/>
          <w:szCs w:val="22"/>
        </w:rPr>
        <w:t>Con escrito</w:t>
      </w:r>
      <w:r>
        <w:rPr>
          <w:rFonts w:ascii="Tahoma" w:hAnsi="Tahoma" w:cs="Tahoma"/>
          <w:sz w:val="22"/>
          <w:szCs w:val="22"/>
        </w:rPr>
        <w:t>s</w:t>
      </w:r>
      <w:r w:rsidRPr="00EA4950">
        <w:rPr>
          <w:rFonts w:ascii="Tahoma" w:hAnsi="Tahoma" w:cs="Tahoma"/>
          <w:sz w:val="22"/>
          <w:szCs w:val="22"/>
        </w:rPr>
        <w:t xml:space="preserve"> presentado</w:t>
      </w:r>
      <w:r>
        <w:rPr>
          <w:rFonts w:ascii="Tahoma" w:hAnsi="Tahoma" w:cs="Tahoma"/>
          <w:sz w:val="22"/>
          <w:szCs w:val="22"/>
        </w:rPr>
        <w:t>s el 17 y 21 de febrero de 2011, respectivamente</w:t>
      </w:r>
      <w:r w:rsidRPr="00EA4950">
        <w:rPr>
          <w:rFonts w:ascii="Tahoma" w:hAnsi="Tahoma" w:cs="Tahoma"/>
          <w:sz w:val="22"/>
          <w:szCs w:val="22"/>
        </w:rPr>
        <w:t>, la Entidad remitió los antecedentes administrativos solicitados y, además</w:t>
      </w:r>
      <w:r>
        <w:rPr>
          <w:rFonts w:ascii="Tahoma" w:hAnsi="Tahoma" w:cs="Tahoma"/>
          <w:sz w:val="22"/>
          <w:szCs w:val="22"/>
        </w:rPr>
        <w:t>, adjuntó el Informe Legal Nº 067-OCAJ-ESSALUD-2011, de fecha 21 de febrero de 2011</w:t>
      </w:r>
      <w:r w:rsidRPr="007E0F4C">
        <w:rPr>
          <w:rFonts w:ascii="Tahoma" w:hAnsi="Tahoma" w:cs="Tahoma"/>
          <w:sz w:val="22"/>
          <w:szCs w:val="22"/>
        </w:rPr>
        <w:t xml:space="preserve">, en el cual señaló lo siguiente: </w:t>
      </w:r>
    </w:p>
    <w:p w:rsidR="002E78D8" w:rsidRDefault="002E78D8" w:rsidP="002E78D8">
      <w:pPr>
        <w:pStyle w:val="Prrafodelista"/>
        <w:ind w:left="0"/>
        <w:jc w:val="both"/>
        <w:rPr>
          <w:rFonts w:ascii="Tahoma" w:hAnsi="Tahoma" w:cs="Tahoma"/>
          <w:sz w:val="22"/>
          <w:szCs w:val="22"/>
        </w:rPr>
      </w:pPr>
    </w:p>
    <w:p w:rsidR="002E78D8" w:rsidRDefault="002E78D8" w:rsidP="002E78D8">
      <w:pPr>
        <w:pStyle w:val="Prrafodelista"/>
        <w:ind w:left="567"/>
        <w:jc w:val="both"/>
        <w:rPr>
          <w:rFonts w:ascii="Tahoma" w:hAnsi="Tahoma" w:cs="Tahoma"/>
          <w:b/>
          <w:sz w:val="22"/>
          <w:szCs w:val="22"/>
        </w:rPr>
      </w:pPr>
      <w:r>
        <w:rPr>
          <w:rFonts w:ascii="Tahoma" w:hAnsi="Tahoma" w:cs="Tahoma"/>
          <w:b/>
          <w:sz w:val="22"/>
          <w:szCs w:val="22"/>
        </w:rPr>
        <w:t>SOBRE EL CUMPLIMIENTO DE LA PROPUESTA TÉCNICA DEL IMPUGNANTE, RESPECTO A</w:t>
      </w:r>
      <w:r w:rsidRPr="00075C5A">
        <w:rPr>
          <w:rFonts w:ascii="Tahoma" w:hAnsi="Tahoma" w:cs="Tahoma"/>
          <w:b/>
          <w:sz w:val="22"/>
          <w:szCs w:val="22"/>
        </w:rPr>
        <w:t xml:space="preserve"> LOS FACTORES DE EVALUACIÓN “EXPERIENCIA DEL POSTOR” Y “CUMPLIMIENTO DE LA PRESTACIÓN” </w:t>
      </w:r>
    </w:p>
    <w:p w:rsidR="002E78D8" w:rsidRDefault="002E78D8" w:rsidP="002E78D8">
      <w:pPr>
        <w:pStyle w:val="Prrafodelista"/>
        <w:ind w:left="567"/>
        <w:jc w:val="both"/>
        <w:rPr>
          <w:rFonts w:ascii="Tahoma" w:hAnsi="Tahoma" w:cs="Tahoma"/>
          <w:b/>
          <w:sz w:val="22"/>
          <w:szCs w:val="22"/>
        </w:rPr>
      </w:pPr>
    </w:p>
    <w:p w:rsidR="002E78D8" w:rsidRDefault="002E78D8" w:rsidP="002E78D8">
      <w:pPr>
        <w:pStyle w:val="Prrafodelista"/>
        <w:widowControl w:val="0"/>
        <w:numPr>
          <w:ilvl w:val="0"/>
          <w:numId w:val="16"/>
        </w:numPr>
        <w:suppressAutoHyphens/>
        <w:ind w:left="1134" w:hanging="567"/>
        <w:jc w:val="both"/>
        <w:rPr>
          <w:rFonts w:ascii="Tahoma" w:hAnsi="Tahoma" w:cs="Tahoma"/>
          <w:sz w:val="22"/>
          <w:szCs w:val="22"/>
        </w:rPr>
      </w:pPr>
      <w:r>
        <w:rPr>
          <w:rFonts w:ascii="Tahoma" w:hAnsi="Tahoma" w:cs="Tahoma"/>
          <w:sz w:val="22"/>
          <w:szCs w:val="22"/>
        </w:rPr>
        <w:t>La Entidad señaló que de la propuesta técnica del Impugnante se advierte que obra a fojas 719 el Anexo 6 “Documentos relativos a la acreditación del factor referido a la experiencia del Postor”, en el que se adjunta un Contrato de Distribución Exclusiva suscrito entre Laboratorios Baxter del Perú S.A. y Laboratorios Hersil S.A. de fecha 18 de mayo del 2006, cuyo monto de ejecución es de S/. 14,329,659.11 y como monto efectivamente ejecutado la suma de S/. 14,329,659.11; en tal sentido, de la revisión de la integridad del referido contrato se advierte que lleva implícito elementos de una compraventa de medicinas y material médico, haciéndose referencia a los productos indicados en el Anexo 1.</w:t>
      </w:r>
    </w:p>
    <w:p w:rsidR="002E78D8" w:rsidRDefault="002E78D8" w:rsidP="002E78D8">
      <w:pPr>
        <w:pStyle w:val="Prrafodelista"/>
        <w:ind w:left="1134" w:hanging="567"/>
        <w:jc w:val="both"/>
        <w:rPr>
          <w:rFonts w:ascii="Tahoma" w:hAnsi="Tahoma" w:cs="Tahoma"/>
          <w:sz w:val="22"/>
          <w:szCs w:val="22"/>
        </w:rPr>
      </w:pPr>
    </w:p>
    <w:p w:rsidR="002E78D8" w:rsidRDefault="002E78D8" w:rsidP="002E78D8">
      <w:pPr>
        <w:pStyle w:val="Prrafodelista"/>
        <w:widowControl w:val="0"/>
        <w:numPr>
          <w:ilvl w:val="0"/>
          <w:numId w:val="16"/>
        </w:numPr>
        <w:suppressAutoHyphens/>
        <w:ind w:left="1134" w:hanging="567"/>
        <w:jc w:val="both"/>
        <w:rPr>
          <w:rFonts w:ascii="Tahoma" w:hAnsi="Tahoma" w:cs="Tahoma"/>
          <w:sz w:val="22"/>
          <w:szCs w:val="22"/>
        </w:rPr>
      </w:pPr>
      <w:r>
        <w:rPr>
          <w:rFonts w:ascii="Tahoma" w:hAnsi="Tahoma" w:cs="Tahoma"/>
          <w:sz w:val="22"/>
          <w:szCs w:val="22"/>
        </w:rPr>
        <w:t>Asimismo, obra a fojas 771 y 772 la “Constancia de Prestación” suscrita por los representantes de la empresa Hersil S.A. Laboratorios Industriales Farmacéuticos y el Anexo 1, consignándose, entre otros, lo siguiente:</w:t>
      </w:r>
    </w:p>
    <w:p w:rsidR="002E78D8" w:rsidRDefault="002E78D8" w:rsidP="002E78D8">
      <w:pPr>
        <w:pStyle w:val="Prrafodelista"/>
        <w:ind w:left="567"/>
        <w:jc w:val="both"/>
        <w:rPr>
          <w:rFonts w:ascii="Tahoma" w:hAnsi="Tahoma" w:cs="Tahoma"/>
          <w:sz w:val="22"/>
          <w:szCs w:val="22"/>
        </w:rPr>
      </w:pPr>
    </w:p>
    <w:p w:rsidR="002E78D8" w:rsidRPr="006A1E11" w:rsidRDefault="002E78D8" w:rsidP="002E78D8">
      <w:pPr>
        <w:pStyle w:val="Prrafodelista"/>
        <w:ind w:left="1560" w:right="283"/>
        <w:jc w:val="both"/>
        <w:rPr>
          <w:rFonts w:ascii="Tahoma" w:hAnsi="Tahoma" w:cs="Tahoma"/>
          <w:i/>
          <w:sz w:val="18"/>
          <w:szCs w:val="18"/>
        </w:rPr>
      </w:pPr>
      <w:r w:rsidRPr="006A1E11">
        <w:rPr>
          <w:rFonts w:ascii="Tahoma" w:hAnsi="Tahoma" w:cs="Tahoma"/>
          <w:i/>
          <w:sz w:val="18"/>
          <w:szCs w:val="18"/>
        </w:rPr>
        <w:t>“(…) Que, de acuerdo al Contrato de Distribución Exclusiva suscrito con Laboratorios Baxter del Perú S.A. de fecha 18 de mayo de 2006, procedemos a elaborar la Constancia de Prestación correspondiente al periodo 1 de enero 2010 al 30 de junio 2010, siendo el valor de las prestaciones recibidas y canceladas en medicamentos y material médico S/. 14’329,659.11 (catorce millones trescientos veintinueve mil seiscientos cincuenta y nueve y 11/100 Nuevos Soles) según detalle adjunto (ver Anexo N° 1). Laboratorios Baxter del Perú S.A. ha cumplido con la atención de nuestros requerimientos en los plazos establecidos. Se expide la presente constancia a solicitud d la parte interesada de acuerdo al Artículo 178 del D.S. 184-2008-EF, No habiendo incurrido en penalidad alguna”</w:t>
      </w:r>
    </w:p>
    <w:p w:rsidR="002E78D8" w:rsidRDefault="002E78D8" w:rsidP="002E78D8">
      <w:pPr>
        <w:pStyle w:val="Prrafodelista"/>
        <w:ind w:left="567"/>
        <w:jc w:val="both"/>
        <w:rPr>
          <w:rFonts w:ascii="Tahoma" w:hAnsi="Tahoma" w:cs="Tahoma"/>
          <w:sz w:val="22"/>
          <w:szCs w:val="22"/>
        </w:rPr>
      </w:pPr>
    </w:p>
    <w:p w:rsidR="002E78D8" w:rsidRDefault="002E78D8" w:rsidP="002E78D8">
      <w:pPr>
        <w:pStyle w:val="Prrafodelista"/>
        <w:widowControl w:val="0"/>
        <w:numPr>
          <w:ilvl w:val="0"/>
          <w:numId w:val="16"/>
        </w:numPr>
        <w:suppressAutoHyphens/>
        <w:ind w:left="1134" w:hanging="567"/>
        <w:jc w:val="both"/>
        <w:rPr>
          <w:rFonts w:ascii="Tahoma" w:hAnsi="Tahoma" w:cs="Tahoma"/>
          <w:sz w:val="22"/>
          <w:szCs w:val="22"/>
        </w:rPr>
      </w:pPr>
      <w:r>
        <w:rPr>
          <w:rFonts w:ascii="Tahoma" w:hAnsi="Tahoma" w:cs="Tahoma"/>
          <w:sz w:val="22"/>
          <w:szCs w:val="22"/>
        </w:rPr>
        <w:t>La Oficina de Recursos Médicos de la Gerencia Central de Prestaciones de Salud mediante Informe N° 028-ORM-GCPS-ESSALUD-2011, ha señalado que “De acuerdo con lo establecido en el numeral 1.3 de las bases, el Objeto de la Convocatoria corresponde a la adquisición de “Sistemas de Diálisis Peritoneal Automatizado”, cumpliendo el Impugnante con ofertar los productos que tienen relación con el objeto de convocatoria, tal como se puede evidenciar en el folio 721 de su propuesta técnica.</w:t>
      </w:r>
    </w:p>
    <w:p w:rsidR="002E78D8" w:rsidRDefault="002E78D8" w:rsidP="002E78D8">
      <w:pPr>
        <w:pStyle w:val="Prrafodelista"/>
        <w:ind w:left="1134" w:hanging="567"/>
        <w:jc w:val="both"/>
        <w:rPr>
          <w:rFonts w:ascii="Tahoma" w:hAnsi="Tahoma" w:cs="Tahoma"/>
          <w:sz w:val="22"/>
          <w:szCs w:val="22"/>
        </w:rPr>
      </w:pPr>
    </w:p>
    <w:p w:rsidR="002E78D8" w:rsidRDefault="002E78D8" w:rsidP="002E78D8">
      <w:pPr>
        <w:pStyle w:val="Prrafodelista"/>
        <w:widowControl w:val="0"/>
        <w:numPr>
          <w:ilvl w:val="0"/>
          <w:numId w:val="16"/>
        </w:numPr>
        <w:suppressAutoHyphens/>
        <w:ind w:left="1134" w:hanging="567"/>
        <w:jc w:val="both"/>
        <w:rPr>
          <w:rFonts w:ascii="Tahoma" w:hAnsi="Tahoma" w:cs="Tahoma"/>
          <w:sz w:val="22"/>
          <w:szCs w:val="22"/>
        </w:rPr>
      </w:pPr>
      <w:r>
        <w:rPr>
          <w:rFonts w:ascii="Tahoma" w:hAnsi="Tahoma" w:cs="Tahoma"/>
          <w:sz w:val="22"/>
          <w:szCs w:val="22"/>
        </w:rPr>
        <w:lastRenderedPageBreak/>
        <w:t>Por lo tanto, se advierte que el contrato adjuntado por el Impugnante para acreditar la experiencia del postor resulta válido, por lo que de acuerdo a los señalado por el órgano técnico de la Entidad, respecto a los bienes que tiene relación con el objeto de la convocatoria, corresponde otorgar el puntaje correspondiente a la empresa Laboratorios Baxter del Perú S.A. en el factor “Experiencia del Postor”. Asimismo, resulta válida la Constancia de Prestación, por lo que corresponde otorgar a la referida empresa el puntaje respectivo en el factor “Cumplimiento de la Prestación”, de conformidad con lo establecido en las Bases del proceso.</w:t>
      </w:r>
    </w:p>
    <w:p w:rsidR="002E78D8" w:rsidRDefault="002E78D8" w:rsidP="002E78D8">
      <w:pPr>
        <w:pStyle w:val="Prrafodelista"/>
        <w:ind w:left="567"/>
        <w:jc w:val="both"/>
        <w:rPr>
          <w:rFonts w:ascii="Tahoma" w:hAnsi="Tahoma" w:cs="Tahoma"/>
          <w:sz w:val="22"/>
          <w:szCs w:val="22"/>
        </w:rPr>
      </w:pPr>
    </w:p>
    <w:p w:rsidR="002E78D8" w:rsidRDefault="002E78D8" w:rsidP="002E78D8">
      <w:pPr>
        <w:pStyle w:val="Prrafodelista"/>
        <w:ind w:left="567"/>
        <w:jc w:val="both"/>
        <w:rPr>
          <w:rFonts w:ascii="Tahoma" w:hAnsi="Tahoma" w:cs="Tahoma"/>
          <w:b/>
          <w:sz w:val="22"/>
          <w:szCs w:val="22"/>
        </w:rPr>
      </w:pPr>
      <w:r>
        <w:rPr>
          <w:rFonts w:ascii="Tahoma" w:hAnsi="Tahoma" w:cs="Tahoma"/>
          <w:b/>
          <w:sz w:val="22"/>
          <w:szCs w:val="22"/>
        </w:rPr>
        <w:t>SOBRE EL CUMPLIMIENTO DE LA ESPECIFICACIÓN TÉCNICA DEL MATERIAL REFERIDO A LA CONDICIÓN DEL MATERIAL ESTERIL DE LOS COMPONENTES 4 Y 6 (LINEA DE DRENAJE Y OBTURADOR) DEL PRODUCTO OFERTADO POR LA ADJUDICATARIA</w:t>
      </w:r>
    </w:p>
    <w:p w:rsidR="002E78D8" w:rsidRDefault="002E78D8" w:rsidP="002E78D8">
      <w:pPr>
        <w:pStyle w:val="Prrafodelista"/>
        <w:ind w:left="567"/>
        <w:jc w:val="both"/>
        <w:rPr>
          <w:rFonts w:ascii="Tahoma" w:hAnsi="Tahoma" w:cs="Tahoma"/>
          <w:sz w:val="22"/>
          <w:szCs w:val="22"/>
        </w:rPr>
      </w:pPr>
    </w:p>
    <w:p w:rsidR="002E78D8" w:rsidRDefault="002E78D8" w:rsidP="002E78D8">
      <w:pPr>
        <w:pStyle w:val="Prrafodelista"/>
        <w:widowControl w:val="0"/>
        <w:numPr>
          <w:ilvl w:val="0"/>
          <w:numId w:val="17"/>
        </w:numPr>
        <w:suppressAutoHyphens/>
        <w:ind w:left="1134" w:hanging="567"/>
        <w:jc w:val="both"/>
        <w:rPr>
          <w:rFonts w:ascii="Tahoma" w:hAnsi="Tahoma" w:cs="Tahoma"/>
          <w:sz w:val="22"/>
          <w:szCs w:val="22"/>
        </w:rPr>
      </w:pPr>
      <w:r>
        <w:rPr>
          <w:rFonts w:ascii="Tahoma" w:hAnsi="Tahoma" w:cs="Tahoma"/>
          <w:sz w:val="22"/>
          <w:szCs w:val="22"/>
        </w:rPr>
        <w:t>La Oficina de Recursos Médicos de la Gerencia Central de Prestaciones de Salud, mediante Informe N° 028-ORM-GCPS-ESSALUD-2011 ha señalado que, “De acuerdo a las Especificaciones Técnicas establecidas en las bases, se indica en el folio 45 sobre la condición del material para los componentes 4 y 6 (Línea de Drenaje y Obturador) que debe ser “estéril”.</w:t>
      </w:r>
    </w:p>
    <w:p w:rsidR="002E78D8" w:rsidRDefault="002E78D8" w:rsidP="002E78D8">
      <w:pPr>
        <w:pStyle w:val="Prrafodelista"/>
        <w:ind w:left="1134" w:hanging="567"/>
        <w:jc w:val="both"/>
        <w:rPr>
          <w:rFonts w:ascii="Tahoma" w:hAnsi="Tahoma" w:cs="Tahoma"/>
          <w:sz w:val="22"/>
          <w:szCs w:val="22"/>
        </w:rPr>
      </w:pPr>
    </w:p>
    <w:p w:rsidR="002E78D8" w:rsidRDefault="002E78D8" w:rsidP="002E78D8">
      <w:pPr>
        <w:pStyle w:val="Prrafodelista"/>
        <w:widowControl w:val="0"/>
        <w:numPr>
          <w:ilvl w:val="0"/>
          <w:numId w:val="17"/>
        </w:numPr>
        <w:suppressAutoHyphens/>
        <w:ind w:left="1134" w:hanging="567"/>
        <w:jc w:val="both"/>
        <w:rPr>
          <w:rFonts w:ascii="Tahoma" w:hAnsi="Tahoma" w:cs="Tahoma"/>
          <w:sz w:val="22"/>
          <w:szCs w:val="22"/>
        </w:rPr>
      </w:pPr>
      <w:r>
        <w:rPr>
          <w:rFonts w:ascii="Tahoma" w:hAnsi="Tahoma" w:cs="Tahoma"/>
          <w:sz w:val="22"/>
          <w:szCs w:val="22"/>
        </w:rPr>
        <w:t>No obstante ello, evaluada la propuesta técnica del Adjudicatario, se evidencia en el folio 30 que el componente 6 (obturador), ha sido esterilizado mediante el método de Oxido de Etileno; sin embargo, en el folio 91 encontramos el Protocolo de Análisis del Obturador, en el que se indica solamente la prueba de “Calidad Microbiológica del Desinfectante”, pero no se evidencia la prueba de esterilidad de dicho componente; además, en el folio 92 se ratifica que el componente no ha sido esterilizado.</w:t>
      </w:r>
    </w:p>
    <w:p w:rsidR="002E78D8" w:rsidRDefault="002E78D8" w:rsidP="002E78D8">
      <w:pPr>
        <w:pStyle w:val="Prrafodelista"/>
        <w:ind w:left="1134" w:hanging="567"/>
        <w:jc w:val="both"/>
        <w:rPr>
          <w:rFonts w:ascii="Tahoma" w:hAnsi="Tahoma" w:cs="Tahoma"/>
          <w:sz w:val="22"/>
          <w:szCs w:val="22"/>
        </w:rPr>
      </w:pPr>
    </w:p>
    <w:p w:rsidR="002E78D8" w:rsidRDefault="002E78D8" w:rsidP="002E78D8">
      <w:pPr>
        <w:pStyle w:val="Prrafodelista"/>
        <w:widowControl w:val="0"/>
        <w:numPr>
          <w:ilvl w:val="0"/>
          <w:numId w:val="17"/>
        </w:numPr>
        <w:suppressAutoHyphens/>
        <w:ind w:left="1134" w:hanging="567"/>
        <w:jc w:val="both"/>
        <w:rPr>
          <w:rFonts w:ascii="Tahoma" w:hAnsi="Tahoma" w:cs="Tahoma"/>
          <w:sz w:val="22"/>
          <w:szCs w:val="22"/>
        </w:rPr>
      </w:pPr>
      <w:r>
        <w:rPr>
          <w:rFonts w:ascii="Tahoma" w:hAnsi="Tahoma" w:cs="Tahoma"/>
          <w:sz w:val="22"/>
          <w:szCs w:val="22"/>
        </w:rPr>
        <w:t>Asimismo, en el folio 40 se evidencia que el componente 4 (Línea de Drenaje) ha sido esterilizado mediante el método de vapor; sin embargo, en el folio 106 encontramos el Protocolo de Análisis en el que se consigna la “Prueba de residuos de Oxido de Etileno”, hecho que nos confirma que dicho componente ha sido esterilizado por el método de Oxido de Etileno y no por el método de vapor; por lo tanto, se evidencia que existe incongruencia al momento de declarar los métodos utilizados en la esterilización.</w:t>
      </w:r>
    </w:p>
    <w:p w:rsidR="002E78D8" w:rsidRDefault="002E78D8" w:rsidP="002E78D8">
      <w:pPr>
        <w:pStyle w:val="Prrafodelista"/>
        <w:ind w:left="1134" w:hanging="567"/>
        <w:jc w:val="both"/>
        <w:rPr>
          <w:rFonts w:ascii="Tahoma" w:hAnsi="Tahoma" w:cs="Tahoma"/>
          <w:sz w:val="22"/>
          <w:szCs w:val="22"/>
        </w:rPr>
      </w:pPr>
    </w:p>
    <w:p w:rsidR="002E78D8" w:rsidRDefault="002E78D8" w:rsidP="002E78D8">
      <w:pPr>
        <w:pStyle w:val="Prrafodelista"/>
        <w:widowControl w:val="0"/>
        <w:numPr>
          <w:ilvl w:val="0"/>
          <w:numId w:val="17"/>
        </w:numPr>
        <w:suppressAutoHyphens/>
        <w:ind w:left="1134" w:hanging="567"/>
        <w:jc w:val="both"/>
        <w:rPr>
          <w:rFonts w:ascii="Tahoma" w:hAnsi="Tahoma" w:cs="Tahoma"/>
          <w:sz w:val="22"/>
          <w:szCs w:val="22"/>
        </w:rPr>
      </w:pPr>
      <w:r>
        <w:rPr>
          <w:rFonts w:ascii="Tahoma" w:hAnsi="Tahoma" w:cs="Tahoma"/>
          <w:sz w:val="22"/>
          <w:szCs w:val="22"/>
        </w:rPr>
        <w:t>En virtud a ello, los componentes 4 y 6 (Línea de drenaje y obturador) del producto ofertado por el Adjudicatario, no cumplen con la especificación técnica del Material referido a la Condición: Estéril, de conformidad con el literal c de las Especificaciones Técnicas de las Bases Integradas.</w:t>
      </w:r>
    </w:p>
    <w:p w:rsidR="002E78D8" w:rsidRDefault="002E78D8" w:rsidP="002E78D8">
      <w:pPr>
        <w:pStyle w:val="Prrafodelista"/>
        <w:ind w:left="567"/>
        <w:jc w:val="both"/>
        <w:rPr>
          <w:rFonts w:ascii="Tahoma" w:hAnsi="Tahoma" w:cs="Tahoma"/>
          <w:sz w:val="22"/>
          <w:szCs w:val="22"/>
        </w:rPr>
      </w:pPr>
    </w:p>
    <w:p w:rsidR="002E78D8" w:rsidRDefault="002E78D8" w:rsidP="002E78D8">
      <w:pPr>
        <w:pStyle w:val="Prrafodelista"/>
        <w:ind w:left="567"/>
        <w:jc w:val="both"/>
        <w:rPr>
          <w:rFonts w:ascii="Tahoma" w:hAnsi="Tahoma" w:cs="Tahoma"/>
          <w:b/>
          <w:sz w:val="22"/>
          <w:szCs w:val="22"/>
        </w:rPr>
      </w:pPr>
      <w:r w:rsidRPr="00075C5A">
        <w:rPr>
          <w:rFonts w:ascii="Tahoma" w:hAnsi="Tahoma" w:cs="Tahoma"/>
          <w:b/>
          <w:sz w:val="22"/>
          <w:szCs w:val="22"/>
        </w:rPr>
        <w:lastRenderedPageBreak/>
        <w:t>S</w:t>
      </w:r>
      <w:r>
        <w:rPr>
          <w:rFonts w:ascii="Tahoma" w:hAnsi="Tahoma" w:cs="Tahoma"/>
          <w:b/>
          <w:sz w:val="22"/>
          <w:szCs w:val="22"/>
        </w:rPr>
        <w:t>OBRE LA DISCREPANCIAS EN LA FECHA DE ENTREGA DE LAS MÁQUINAS CICLADORAS OFERTADAS POR LA ADJUDICATARIA</w:t>
      </w:r>
    </w:p>
    <w:p w:rsidR="002E78D8" w:rsidRDefault="002E78D8" w:rsidP="002E78D8">
      <w:pPr>
        <w:pStyle w:val="Prrafodelista"/>
        <w:ind w:left="567"/>
        <w:jc w:val="both"/>
        <w:rPr>
          <w:rFonts w:ascii="Tahoma" w:hAnsi="Tahoma" w:cs="Tahoma"/>
          <w:sz w:val="22"/>
          <w:szCs w:val="22"/>
        </w:rPr>
      </w:pPr>
    </w:p>
    <w:p w:rsidR="002E78D8" w:rsidRDefault="002E78D8" w:rsidP="002E78D8">
      <w:pPr>
        <w:pStyle w:val="Prrafodelista"/>
        <w:widowControl w:val="0"/>
        <w:numPr>
          <w:ilvl w:val="0"/>
          <w:numId w:val="18"/>
        </w:numPr>
        <w:suppressAutoHyphens/>
        <w:ind w:left="1134" w:hanging="567"/>
        <w:jc w:val="both"/>
        <w:rPr>
          <w:rFonts w:ascii="Tahoma" w:hAnsi="Tahoma" w:cs="Tahoma"/>
          <w:sz w:val="22"/>
          <w:szCs w:val="22"/>
        </w:rPr>
      </w:pPr>
      <w:r>
        <w:rPr>
          <w:rFonts w:ascii="Tahoma" w:hAnsi="Tahoma" w:cs="Tahoma"/>
          <w:sz w:val="22"/>
          <w:szCs w:val="22"/>
        </w:rPr>
        <w:t>De la revisión de las Bases de la Licitación Pública N° 1095L00011, se advierte que éstas establecieron plazo de entrega para las medicinas y material médico que componen el sistema requerido, siendo que no se estableció plazo de entrega para los equipos en cesión de uso.</w:t>
      </w:r>
    </w:p>
    <w:p w:rsidR="002E78D8" w:rsidRDefault="002E78D8" w:rsidP="002E78D8">
      <w:pPr>
        <w:pStyle w:val="Prrafodelista"/>
        <w:ind w:left="1134" w:hanging="567"/>
        <w:jc w:val="both"/>
        <w:rPr>
          <w:rFonts w:ascii="Tahoma" w:hAnsi="Tahoma" w:cs="Tahoma"/>
          <w:sz w:val="22"/>
          <w:szCs w:val="22"/>
        </w:rPr>
      </w:pPr>
    </w:p>
    <w:p w:rsidR="002E78D8" w:rsidRDefault="002E78D8" w:rsidP="002E78D8">
      <w:pPr>
        <w:pStyle w:val="Prrafodelista"/>
        <w:widowControl w:val="0"/>
        <w:numPr>
          <w:ilvl w:val="0"/>
          <w:numId w:val="18"/>
        </w:numPr>
        <w:suppressAutoHyphens/>
        <w:ind w:left="1134" w:hanging="567"/>
        <w:jc w:val="both"/>
        <w:rPr>
          <w:rFonts w:ascii="Tahoma" w:hAnsi="Tahoma" w:cs="Tahoma"/>
          <w:sz w:val="22"/>
          <w:szCs w:val="22"/>
        </w:rPr>
      </w:pPr>
      <w:r>
        <w:rPr>
          <w:rFonts w:ascii="Tahoma" w:hAnsi="Tahoma" w:cs="Tahoma"/>
          <w:sz w:val="22"/>
          <w:szCs w:val="22"/>
        </w:rPr>
        <w:t xml:space="preserve">De la propuesta técnica del Adjudicatario, se advierte a fojas 8, 9, 12, 13, 16, 19, 22, 25, 28, 32, 38 y 42 las Declaraciones Juradas de Presentación del Producto, Compromiso de Plazo de Entrega y Vigencia de las medicinas y material médico que componen el sistema requerido, en la que en todas ellas se observa que se señaló en el rubro de Plazo de Entrega 02 días. Asimismo, obra a fojas 490 la “Carta de Compromiso de Plazo de Entrega de los Equipos en Cesión de Uso”, en la que se señala entre otros que, </w:t>
      </w:r>
      <w:r w:rsidRPr="004A2B09">
        <w:rPr>
          <w:rFonts w:ascii="Tahoma" w:hAnsi="Tahoma" w:cs="Tahoma"/>
          <w:i/>
          <w:sz w:val="22"/>
          <w:szCs w:val="22"/>
        </w:rPr>
        <w:t>“(…) en caso nuestra representada resultara favorecida con la buena pro de este proceso, entregará 45 (cuarentaicinco) cicladoras PD NIGHT en 05 (cinco) días calendarios posteriores a la recepción de la orden de compra correspondiente; los equipos serán entregados en calidad de cesión en uso a ESSALUD no generando obligaciones de pago por concepto de compra, alquiler, ni compromiso de mantenimiento, compra de repuestos, costos de traslado, instalación, pago de personal u otros”.</w:t>
      </w:r>
    </w:p>
    <w:p w:rsidR="002E78D8" w:rsidRDefault="002E78D8" w:rsidP="002E78D8">
      <w:pPr>
        <w:pStyle w:val="Prrafodelista"/>
        <w:ind w:left="1134" w:hanging="567"/>
        <w:jc w:val="both"/>
        <w:rPr>
          <w:rFonts w:ascii="Tahoma" w:hAnsi="Tahoma" w:cs="Tahoma"/>
          <w:sz w:val="22"/>
          <w:szCs w:val="22"/>
        </w:rPr>
      </w:pPr>
    </w:p>
    <w:p w:rsidR="002E78D8" w:rsidRDefault="002E78D8" w:rsidP="002E78D8">
      <w:pPr>
        <w:pStyle w:val="Prrafodelista"/>
        <w:widowControl w:val="0"/>
        <w:numPr>
          <w:ilvl w:val="0"/>
          <w:numId w:val="18"/>
        </w:numPr>
        <w:suppressAutoHyphens/>
        <w:ind w:left="1134" w:hanging="567"/>
        <w:jc w:val="both"/>
        <w:rPr>
          <w:rFonts w:ascii="Tahoma" w:hAnsi="Tahoma" w:cs="Tahoma"/>
          <w:sz w:val="22"/>
          <w:szCs w:val="22"/>
        </w:rPr>
      </w:pPr>
      <w:r>
        <w:rPr>
          <w:rFonts w:ascii="Tahoma" w:hAnsi="Tahoma" w:cs="Tahoma"/>
          <w:sz w:val="22"/>
          <w:szCs w:val="22"/>
        </w:rPr>
        <w:t>Por lo tanto, se advierte que el Adjudicatario declaró entregar las medicinas y material médico que conforman el sistema ofertado en el plazo de dos (02) días, y los equipos en cesión en uso en un plazo de cinco (05) días, siendo que si bien se desprende que entregará los equipos en cesión en uso en un plazo mayor a la de las medicinas y material médico, se advierte que no corresponde la desestimación de la propuesta técnica del Adjudicatario, debido a que las Bases Integradas no establecieron un plazo de entrega de los equipos en cesión en uso.</w:t>
      </w:r>
    </w:p>
    <w:p w:rsidR="002E78D8" w:rsidRDefault="002E78D8" w:rsidP="002E78D8">
      <w:pPr>
        <w:pStyle w:val="Prrafodelista"/>
        <w:ind w:left="567"/>
        <w:jc w:val="both"/>
        <w:rPr>
          <w:rFonts w:ascii="Tahoma" w:hAnsi="Tahoma" w:cs="Tahoma"/>
          <w:sz w:val="22"/>
          <w:szCs w:val="22"/>
        </w:rPr>
      </w:pPr>
    </w:p>
    <w:p w:rsidR="002E78D8" w:rsidRDefault="002E78D8" w:rsidP="002E78D8">
      <w:pPr>
        <w:pStyle w:val="Prrafodelista"/>
        <w:ind w:left="567"/>
        <w:jc w:val="both"/>
        <w:rPr>
          <w:rFonts w:ascii="Tahoma" w:hAnsi="Tahoma" w:cs="Tahoma"/>
          <w:b/>
          <w:sz w:val="22"/>
          <w:szCs w:val="22"/>
        </w:rPr>
      </w:pPr>
      <w:r>
        <w:rPr>
          <w:rFonts w:ascii="Tahoma" w:hAnsi="Tahoma" w:cs="Tahoma"/>
          <w:b/>
          <w:sz w:val="22"/>
          <w:szCs w:val="22"/>
        </w:rPr>
        <w:t>RESPECTO A LA ANTIGÜEDAD DE LOS EQUIPOS, INSUMOS Y COMPLEMENTOS OFERTADOS POR EL ADJUDICATARIO</w:t>
      </w:r>
    </w:p>
    <w:p w:rsidR="002E78D8" w:rsidRPr="002918D2" w:rsidRDefault="002E78D8" w:rsidP="002E78D8">
      <w:pPr>
        <w:pStyle w:val="Prrafodelista"/>
        <w:ind w:left="567"/>
        <w:jc w:val="both"/>
        <w:rPr>
          <w:rFonts w:ascii="Tahoma" w:hAnsi="Tahoma" w:cs="Tahoma"/>
          <w:sz w:val="22"/>
          <w:szCs w:val="22"/>
        </w:rPr>
      </w:pPr>
    </w:p>
    <w:p w:rsidR="002E78D8" w:rsidRDefault="002E78D8" w:rsidP="002E78D8">
      <w:pPr>
        <w:pStyle w:val="Prrafodelista"/>
        <w:widowControl w:val="0"/>
        <w:numPr>
          <w:ilvl w:val="0"/>
          <w:numId w:val="19"/>
        </w:numPr>
        <w:suppressAutoHyphens/>
        <w:ind w:left="1134" w:hanging="567"/>
        <w:jc w:val="both"/>
        <w:rPr>
          <w:rFonts w:ascii="Tahoma" w:hAnsi="Tahoma" w:cs="Tahoma"/>
          <w:sz w:val="22"/>
          <w:szCs w:val="22"/>
        </w:rPr>
      </w:pPr>
      <w:r w:rsidRPr="002918D2">
        <w:rPr>
          <w:rFonts w:ascii="Tahoma" w:hAnsi="Tahoma" w:cs="Tahoma"/>
          <w:sz w:val="22"/>
          <w:szCs w:val="22"/>
        </w:rPr>
        <w:t>De</w:t>
      </w:r>
      <w:r>
        <w:rPr>
          <w:rFonts w:ascii="Tahoma" w:hAnsi="Tahoma" w:cs="Tahoma"/>
          <w:sz w:val="22"/>
          <w:szCs w:val="22"/>
        </w:rPr>
        <w:t xml:space="preserve"> la revisión de las Bases de la Licitación Pública N° 1095L00011, se advierte que en cuanto a las Condiciones Generales de los Equipos, se estableció la antigüedad de los quipos, accesorios y complementos no mayor a 03 años al momento de la Instalación, siendo que en las Bases consta un modelo de acta de puesta en operación y funcionamiento del equipo en el que se consigna la fecha de fabricación, de lo que se advierte que la consignación de la antigüedad de los equipos resulta obligatoria al momento de la instalación, es decir en la etapa de ejecución contractual.</w:t>
      </w:r>
    </w:p>
    <w:p w:rsidR="002E78D8" w:rsidRDefault="002E78D8" w:rsidP="002E78D8">
      <w:pPr>
        <w:pStyle w:val="Prrafodelista"/>
        <w:ind w:left="1134" w:hanging="567"/>
        <w:jc w:val="both"/>
        <w:rPr>
          <w:rFonts w:ascii="Tahoma" w:hAnsi="Tahoma" w:cs="Tahoma"/>
          <w:sz w:val="22"/>
          <w:szCs w:val="22"/>
        </w:rPr>
      </w:pPr>
    </w:p>
    <w:p w:rsidR="002E78D8" w:rsidRPr="000C4473" w:rsidRDefault="002E78D8" w:rsidP="002E78D8">
      <w:pPr>
        <w:pStyle w:val="Prrafodelista"/>
        <w:widowControl w:val="0"/>
        <w:numPr>
          <w:ilvl w:val="0"/>
          <w:numId w:val="19"/>
        </w:numPr>
        <w:suppressAutoHyphens/>
        <w:ind w:left="1134" w:hanging="567"/>
        <w:jc w:val="both"/>
        <w:rPr>
          <w:rFonts w:ascii="Tahoma" w:hAnsi="Tahoma" w:cs="Tahoma"/>
          <w:i/>
          <w:sz w:val="22"/>
          <w:szCs w:val="22"/>
        </w:rPr>
      </w:pPr>
      <w:r>
        <w:rPr>
          <w:rFonts w:ascii="Tahoma" w:hAnsi="Tahoma" w:cs="Tahoma"/>
          <w:sz w:val="22"/>
          <w:szCs w:val="22"/>
        </w:rPr>
        <w:t xml:space="preserve">En tal sentido, en la propuesta técnica del Adjudicatario, se advierte a fojas </w:t>
      </w:r>
      <w:r>
        <w:rPr>
          <w:rFonts w:ascii="Tahoma" w:hAnsi="Tahoma" w:cs="Tahoma"/>
          <w:sz w:val="22"/>
          <w:szCs w:val="22"/>
        </w:rPr>
        <w:lastRenderedPageBreak/>
        <w:t>46 a 50 de las Especificaciones Técnicas del equipo ofertado en cesión en uso Cicladora PD NIGHT – Equipo para Diálisis Peritoneal Automatizada, en la cual no se hace referencia a la antigüedad del equipo; de otro lado, obra a fojas 490, la “Carta de Compromiso de Plazo de Entrega de los Equipos en Cesión de Uso”, en la cual se señaló que “</w:t>
      </w:r>
      <w:r w:rsidRPr="000C4473">
        <w:rPr>
          <w:rFonts w:ascii="Tahoma" w:hAnsi="Tahoma" w:cs="Tahoma"/>
          <w:i/>
          <w:sz w:val="22"/>
          <w:szCs w:val="22"/>
        </w:rPr>
        <w:t>Los quipos en cesión, antes de ser instalados en el domicilio del paciente, ingresarán al CNSR, previa coordinación con la enfermera coordinadora del área, para su verificación de funcionamiento y programación de terapia. Se levantará un acta de puesta en operación de funcionamiento del equipo”.</w:t>
      </w:r>
    </w:p>
    <w:p w:rsidR="002E78D8" w:rsidRDefault="002E78D8" w:rsidP="002E78D8">
      <w:pPr>
        <w:pStyle w:val="Prrafodelista"/>
        <w:ind w:left="1134" w:hanging="567"/>
        <w:jc w:val="both"/>
        <w:rPr>
          <w:rFonts w:ascii="Tahoma" w:hAnsi="Tahoma" w:cs="Tahoma"/>
          <w:sz w:val="22"/>
          <w:szCs w:val="22"/>
        </w:rPr>
      </w:pPr>
    </w:p>
    <w:p w:rsidR="002E78D8" w:rsidRDefault="002E78D8" w:rsidP="002E78D8">
      <w:pPr>
        <w:pStyle w:val="Prrafodelista"/>
        <w:widowControl w:val="0"/>
        <w:numPr>
          <w:ilvl w:val="0"/>
          <w:numId w:val="19"/>
        </w:numPr>
        <w:suppressAutoHyphens/>
        <w:ind w:left="1134" w:hanging="567"/>
        <w:jc w:val="both"/>
        <w:rPr>
          <w:rFonts w:ascii="Tahoma" w:hAnsi="Tahoma" w:cs="Tahoma"/>
          <w:sz w:val="22"/>
          <w:szCs w:val="22"/>
        </w:rPr>
      </w:pPr>
      <w:r>
        <w:rPr>
          <w:rFonts w:ascii="Tahoma" w:hAnsi="Tahoma" w:cs="Tahoma"/>
          <w:sz w:val="22"/>
          <w:szCs w:val="22"/>
        </w:rPr>
        <w:t>Por lo tanto, se advierte que si bien el Adjudicatario no declaró la antigüedad de los equipos, accesorios y complementos, no corresponde la desestimación de su propuesta técnica, toda vez que de lo establecido en las Bases Integradas, la consignación de la antigüedad de dichos equipos resulta obligatoria al momento de su instalación en el Acta de puesta en operación y funcionamiento.</w:t>
      </w:r>
    </w:p>
    <w:p w:rsidR="002E78D8" w:rsidRDefault="002E78D8" w:rsidP="002E78D8">
      <w:pPr>
        <w:pStyle w:val="Prrafodelista"/>
        <w:ind w:left="567"/>
        <w:jc w:val="both"/>
        <w:rPr>
          <w:rFonts w:ascii="Tahoma" w:hAnsi="Tahoma" w:cs="Tahoma"/>
          <w:sz w:val="22"/>
          <w:szCs w:val="22"/>
        </w:rPr>
      </w:pPr>
    </w:p>
    <w:p w:rsidR="002E78D8" w:rsidRDefault="002E78D8" w:rsidP="002E78D8">
      <w:pPr>
        <w:pStyle w:val="Prrafodelista"/>
        <w:ind w:left="567"/>
        <w:jc w:val="both"/>
        <w:rPr>
          <w:rFonts w:ascii="Tahoma" w:hAnsi="Tahoma" w:cs="Tahoma"/>
          <w:b/>
          <w:sz w:val="22"/>
          <w:szCs w:val="22"/>
        </w:rPr>
      </w:pPr>
      <w:r>
        <w:rPr>
          <w:rFonts w:ascii="Tahoma" w:hAnsi="Tahoma" w:cs="Tahoma"/>
          <w:b/>
          <w:sz w:val="22"/>
          <w:szCs w:val="22"/>
        </w:rPr>
        <w:t>SOBRE LA NO PRESENTACIÓN DE LA PÓLIZA DE SEGURO DE LOS EQUIPOS EN CESIÓN DE USO, ASÍ COMO LA CERTIFICACIÓN DE SU PERSONAL DE MANTENIMIENTO OFERTADA POR EL ADJUDICATARIO</w:t>
      </w:r>
    </w:p>
    <w:p w:rsidR="002E78D8" w:rsidRPr="002918D2" w:rsidRDefault="002E78D8" w:rsidP="002E78D8">
      <w:pPr>
        <w:pStyle w:val="Prrafodelista"/>
        <w:ind w:left="567"/>
        <w:jc w:val="both"/>
        <w:rPr>
          <w:rFonts w:ascii="Tahoma" w:hAnsi="Tahoma" w:cs="Tahoma"/>
          <w:sz w:val="22"/>
          <w:szCs w:val="22"/>
        </w:rPr>
      </w:pPr>
    </w:p>
    <w:p w:rsidR="002E78D8" w:rsidRDefault="002E78D8" w:rsidP="002E78D8">
      <w:pPr>
        <w:pStyle w:val="Prrafodelista"/>
        <w:widowControl w:val="0"/>
        <w:numPr>
          <w:ilvl w:val="0"/>
          <w:numId w:val="20"/>
        </w:numPr>
        <w:suppressAutoHyphens/>
        <w:ind w:left="1134" w:hanging="567"/>
        <w:jc w:val="both"/>
        <w:rPr>
          <w:rFonts w:ascii="Tahoma" w:hAnsi="Tahoma" w:cs="Tahoma"/>
          <w:sz w:val="22"/>
          <w:szCs w:val="22"/>
        </w:rPr>
      </w:pPr>
      <w:r>
        <w:rPr>
          <w:rFonts w:ascii="Tahoma" w:hAnsi="Tahoma" w:cs="Tahoma"/>
          <w:sz w:val="22"/>
          <w:szCs w:val="22"/>
        </w:rPr>
        <w:t>De la revisión de las Bases Integradas, se advierte que “la póliza de seguros” y “el programa de mantenimiento preventivo, documentando la certificación del personal del mantenimiento” debe ser presentados por el “proveedor”, es decir, se advierte que estos documentos resultan exigibles para la persona con la que la Entidad suscriba el contrato, una vez obtenida la Buena Pro (etapa de ejecución contractual), y no para el “postor”.</w:t>
      </w:r>
    </w:p>
    <w:p w:rsidR="002E78D8" w:rsidRDefault="002E78D8" w:rsidP="002E78D8">
      <w:pPr>
        <w:pStyle w:val="Prrafodelista"/>
        <w:ind w:left="1134" w:hanging="567"/>
        <w:jc w:val="both"/>
        <w:rPr>
          <w:rFonts w:ascii="Tahoma" w:hAnsi="Tahoma" w:cs="Tahoma"/>
          <w:sz w:val="22"/>
          <w:szCs w:val="22"/>
        </w:rPr>
      </w:pPr>
    </w:p>
    <w:p w:rsidR="002E78D8" w:rsidRDefault="002E78D8" w:rsidP="002E78D8">
      <w:pPr>
        <w:pStyle w:val="Prrafodelista"/>
        <w:widowControl w:val="0"/>
        <w:numPr>
          <w:ilvl w:val="0"/>
          <w:numId w:val="20"/>
        </w:numPr>
        <w:suppressAutoHyphens/>
        <w:ind w:left="1134" w:hanging="567"/>
        <w:jc w:val="both"/>
        <w:rPr>
          <w:rFonts w:ascii="Tahoma" w:hAnsi="Tahoma" w:cs="Tahoma"/>
          <w:sz w:val="22"/>
          <w:szCs w:val="22"/>
        </w:rPr>
      </w:pPr>
      <w:r>
        <w:rPr>
          <w:rFonts w:ascii="Tahoma" w:hAnsi="Tahoma" w:cs="Tahoma"/>
          <w:sz w:val="22"/>
          <w:szCs w:val="22"/>
        </w:rPr>
        <w:t xml:space="preserve">En la propuesta técnica del Adjudicatario, se advierte que obra a fojas 490 la “Carta de Compromiso de Plazo de Entrega de los Equipos en Cesión de Uso” en la que se señaló, entre otros, que </w:t>
      </w:r>
      <w:r w:rsidRPr="00F20FBF">
        <w:rPr>
          <w:rFonts w:ascii="Tahoma" w:hAnsi="Tahoma" w:cs="Tahoma"/>
          <w:i/>
          <w:sz w:val="22"/>
          <w:szCs w:val="22"/>
        </w:rPr>
        <w:t>“(…) Presentaremos además una póliza de seguros que ampare los quipos en cesión de uso dando cobertura contra robo, incendio, siniestro, responsabilidad civil contra terceros u otros”</w:t>
      </w:r>
      <w:r>
        <w:rPr>
          <w:rFonts w:ascii="Tahoma" w:hAnsi="Tahoma" w:cs="Tahoma"/>
          <w:sz w:val="22"/>
          <w:szCs w:val="22"/>
        </w:rPr>
        <w:t>. Asimismo, obra a fojas 491 el documento “Programa de Mantenimiento Preventivo” del equipo ofertado, y a fojas 492 una “Declaración Jurada de Información de Soporte Técnico y de Recursos Humanos”</w:t>
      </w:r>
    </w:p>
    <w:p w:rsidR="002E78D8" w:rsidRDefault="002E78D8" w:rsidP="002E78D8">
      <w:pPr>
        <w:pStyle w:val="Prrafodelista"/>
        <w:ind w:left="1134" w:hanging="567"/>
        <w:jc w:val="both"/>
        <w:rPr>
          <w:rFonts w:ascii="Tahoma" w:hAnsi="Tahoma" w:cs="Tahoma"/>
          <w:sz w:val="22"/>
          <w:szCs w:val="22"/>
        </w:rPr>
      </w:pPr>
    </w:p>
    <w:p w:rsidR="002E78D8" w:rsidRPr="002918D2" w:rsidRDefault="002E78D8" w:rsidP="002E78D8">
      <w:pPr>
        <w:pStyle w:val="Prrafodelista"/>
        <w:widowControl w:val="0"/>
        <w:numPr>
          <w:ilvl w:val="0"/>
          <w:numId w:val="20"/>
        </w:numPr>
        <w:suppressAutoHyphens/>
        <w:ind w:left="1134" w:hanging="567"/>
        <w:jc w:val="both"/>
        <w:rPr>
          <w:rFonts w:ascii="Tahoma" w:hAnsi="Tahoma" w:cs="Tahoma"/>
          <w:sz w:val="22"/>
          <w:szCs w:val="22"/>
        </w:rPr>
      </w:pPr>
      <w:r>
        <w:rPr>
          <w:rFonts w:ascii="Tahoma" w:hAnsi="Tahoma" w:cs="Tahoma"/>
          <w:sz w:val="22"/>
          <w:szCs w:val="22"/>
        </w:rPr>
        <w:t>Por lo tanto, teniendo en consideración que los documentos “póliza de seguros” y el “programa de mantenimiento preventivo, documentando la certificación del personal del mantenimiento” resultan exigibles al “proveedor” y no al “postor”, no corresponde la desestimación de la propuesta técnica de la empresa del Adjudicatario.</w:t>
      </w:r>
    </w:p>
    <w:p w:rsidR="002E78D8" w:rsidRPr="002918D2" w:rsidRDefault="002E78D8" w:rsidP="002E78D8">
      <w:pPr>
        <w:pStyle w:val="Prrafodelista"/>
        <w:ind w:left="567"/>
        <w:jc w:val="both"/>
        <w:rPr>
          <w:rFonts w:ascii="Tahoma" w:hAnsi="Tahoma" w:cs="Tahoma"/>
          <w:sz w:val="22"/>
          <w:szCs w:val="22"/>
        </w:rPr>
      </w:pPr>
    </w:p>
    <w:p w:rsidR="002E78D8" w:rsidRDefault="002E78D8" w:rsidP="002E78D8">
      <w:pPr>
        <w:pStyle w:val="Prrafodelista"/>
        <w:ind w:left="567"/>
        <w:jc w:val="both"/>
        <w:rPr>
          <w:rFonts w:ascii="Tahoma" w:hAnsi="Tahoma" w:cs="Tahoma"/>
          <w:b/>
          <w:sz w:val="22"/>
          <w:szCs w:val="22"/>
        </w:rPr>
      </w:pPr>
      <w:r>
        <w:rPr>
          <w:rFonts w:ascii="Tahoma" w:hAnsi="Tahoma" w:cs="Tahoma"/>
          <w:b/>
          <w:sz w:val="22"/>
          <w:szCs w:val="22"/>
        </w:rPr>
        <w:lastRenderedPageBreak/>
        <w:t>SI CORRESPONDE DECLARAR LA NULIDAD DEL ACTO DE OTORGAMIENTO DE LA BUENA PRO DE LA LICITACIÓN PÚBLICA N° 1095L00011</w:t>
      </w:r>
    </w:p>
    <w:p w:rsidR="002E78D8" w:rsidRPr="002918D2" w:rsidRDefault="002E78D8" w:rsidP="002E78D8">
      <w:pPr>
        <w:pStyle w:val="Prrafodelista"/>
        <w:ind w:left="567"/>
        <w:jc w:val="both"/>
        <w:rPr>
          <w:rFonts w:ascii="Tahoma" w:hAnsi="Tahoma" w:cs="Tahoma"/>
          <w:sz w:val="22"/>
          <w:szCs w:val="22"/>
        </w:rPr>
      </w:pPr>
    </w:p>
    <w:p w:rsidR="002E78D8" w:rsidRDefault="002E78D8" w:rsidP="002E78D8">
      <w:pPr>
        <w:pStyle w:val="Prrafodelista"/>
        <w:widowControl w:val="0"/>
        <w:numPr>
          <w:ilvl w:val="0"/>
          <w:numId w:val="21"/>
        </w:numPr>
        <w:suppressAutoHyphens/>
        <w:ind w:left="1134" w:hanging="567"/>
        <w:jc w:val="both"/>
        <w:rPr>
          <w:rFonts w:ascii="Tahoma" w:hAnsi="Tahoma" w:cs="Tahoma"/>
          <w:sz w:val="22"/>
          <w:szCs w:val="22"/>
        </w:rPr>
      </w:pPr>
      <w:r>
        <w:rPr>
          <w:rFonts w:ascii="Tahoma" w:hAnsi="Tahoma" w:cs="Tahoma"/>
          <w:sz w:val="22"/>
          <w:szCs w:val="22"/>
        </w:rPr>
        <w:t>En el Acta de Presencia Notarial de la Licitación Pública N° 001-2010-ESSALUD/CNSR, respecto de la Lectura de Calificación de Propuestas Técnicas, Apertura de Sobres Económicos y Otorgamiento de la Buena Pro de fecha 19 de enero de 2011, en la que se detalla los resultados en cada factor de evaluación de las propuestas técnicas de los postores en el proceso de selección, advirtiéndose en lo que respecta a la propuesta del Impugnante, en los factores “Evaluación al Postor” y “Cumplimiento de la Prestación” “0.00” puntos, siendo la Condición de la propuesta: Descalificada, seguidamente se señaló “El postor LABORATORIOS BAXTER DEL PERÚ S.A., no alcanzó el puntaje mínimo requerido de sesenta puntos, por lo que su propuesta técnica, fue descalificada, negándose la representante en este acto de dicha empresa a recibir la devolución de su sobre N° 2 – Propuesta Económico, quedando el sobre cerrado en poder del Comité Especial”.</w:t>
      </w:r>
    </w:p>
    <w:p w:rsidR="002E78D8" w:rsidRDefault="002E78D8" w:rsidP="002E78D8">
      <w:pPr>
        <w:pStyle w:val="Prrafodelista"/>
        <w:ind w:left="1134" w:hanging="567"/>
        <w:jc w:val="both"/>
        <w:rPr>
          <w:rFonts w:ascii="Tahoma" w:hAnsi="Tahoma" w:cs="Tahoma"/>
          <w:sz w:val="22"/>
          <w:szCs w:val="22"/>
        </w:rPr>
      </w:pPr>
    </w:p>
    <w:p w:rsidR="002E78D8" w:rsidRPr="002918D2" w:rsidRDefault="002E78D8" w:rsidP="002E78D8">
      <w:pPr>
        <w:pStyle w:val="Prrafodelista"/>
        <w:widowControl w:val="0"/>
        <w:numPr>
          <w:ilvl w:val="0"/>
          <w:numId w:val="21"/>
        </w:numPr>
        <w:suppressAutoHyphens/>
        <w:ind w:left="1134" w:hanging="567"/>
        <w:jc w:val="both"/>
        <w:rPr>
          <w:rFonts w:ascii="Tahoma" w:hAnsi="Tahoma" w:cs="Tahoma"/>
          <w:sz w:val="22"/>
          <w:szCs w:val="22"/>
        </w:rPr>
      </w:pPr>
      <w:r>
        <w:rPr>
          <w:rFonts w:ascii="Tahoma" w:hAnsi="Tahoma" w:cs="Tahoma"/>
          <w:sz w:val="22"/>
          <w:szCs w:val="22"/>
        </w:rPr>
        <w:t>De la revisión del Acta señalada en el párrafo precedente se advierte que en esta se detalla el puntaje que se le ha otorgado a los postores en cada factor de evaluación, así también, se señaló la propuesta del Impugnante fue descalificada debido a que no alcanzó el puntaje mínimo requerido de sesenta puntos para pasar a la evaluación económica, es decir se advierte en un primer momento que si se detallaron los resultados de calificación de cada factor de evaluación y se señaló la razón por la que la propuesta del Impugnante fue descalificada, de conformidad con la normativa de contrataciones, por lo que carece de sustento la nulidad invocada.</w:t>
      </w:r>
    </w:p>
    <w:p w:rsidR="002E78D8" w:rsidRDefault="002E78D8" w:rsidP="002E78D8">
      <w:pPr>
        <w:pStyle w:val="Prrafodelista"/>
        <w:ind w:left="567"/>
        <w:jc w:val="both"/>
        <w:rPr>
          <w:rFonts w:ascii="Tahoma" w:hAnsi="Tahoma" w:cs="Tahoma"/>
          <w:sz w:val="22"/>
          <w:szCs w:val="22"/>
        </w:rPr>
      </w:pPr>
    </w:p>
    <w:p w:rsidR="002E78D8" w:rsidRDefault="002E78D8" w:rsidP="002E78D8">
      <w:pPr>
        <w:numPr>
          <w:ilvl w:val="0"/>
          <w:numId w:val="3"/>
        </w:numPr>
        <w:tabs>
          <w:tab w:val="clear" w:pos="360"/>
          <w:tab w:val="num" w:pos="540"/>
          <w:tab w:val="num" w:pos="567"/>
        </w:tabs>
        <w:ind w:left="540" w:hanging="540"/>
        <w:jc w:val="both"/>
        <w:rPr>
          <w:rFonts w:ascii="Tahoma" w:hAnsi="Tahoma" w:cs="Tahoma"/>
          <w:sz w:val="22"/>
          <w:szCs w:val="22"/>
        </w:rPr>
      </w:pPr>
      <w:r>
        <w:rPr>
          <w:rFonts w:ascii="Tahoma" w:hAnsi="Tahoma" w:cs="Tahoma"/>
          <w:sz w:val="22"/>
          <w:szCs w:val="22"/>
        </w:rPr>
        <w:t>Con decreto de fecha 22 de febrero de 2011</w:t>
      </w:r>
      <w:r w:rsidRPr="007E0F4C">
        <w:rPr>
          <w:rFonts w:ascii="Tahoma" w:hAnsi="Tahoma" w:cs="Tahoma"/>
          <w:sz w:val="22"/>
          <w:szCs w:val="22"/>
        </w:rPr>
        <w:t>, se asignó el expediente a la Primera Sala del Tribunal para que emita su pronunciamiento.</w:t>
      </w:r>
    </w:p>
    <w:p w:rsidR="002E78D8" w:rsidRDefault="002E78D8" w:rsidP="002E78D8">
      <w:pPr>
        <w:tabs>
          <w:tab w:val="num" w:pos="567"/>
        </w:tabs>
        <w:ind w:left="540"/>
        <w:jc w:val="both"/>
        <w:rPr>
          <w:rFonts w:ascii="Tahoma" w:hAnsi="Tahoma" w:cs="Tahoma"/>
          <w:sz w:val="22"/>
          <w:szCs w:val="22"/>
        </w:rPr>
      </w:pPr>
    </w:p>
    <w:p w:rsidR="002E78D8" w:rsidRPr="007E0F4C" w:rsidRDefault="002E78D8" w:rsidP="002E78D8">
      <w:pPr>
        <w:numPr>
          <w:ilvl w:val="0"/>
          <w:numId w:val="3"/>
        </w:numPr>
        <w:tabs>
          <w:tab w:val="clear" w:pos="360"/>
          <w:tab w:val="num" w:pos="540"/>
          <w:tab w:val="num" w:pos="567"/>
        </w:tabs>
        <w:ind w:left="540" w:hanging="540"/>
        <w:jc w:val="both"/>
        <w:rPr>
          <w:rFonts w:ascii="Tahoma" w:hAnsi="Tahoma" w:cs="Tahoma"/>
          <w:sz w:val="22"/>
          <w:szCs w:val="22"/>
        </w:rPr>
      </w:pPr>
      <w:r>
        <w:rPr>
          <w:rFonts w:ascii="Tahoma" w:hAnsi="Tahoma" w:cs="Tahoma"/>
          <w:sz w:val="22"/>
          <w:szCs w:val="22"/>
        </w:rPr>
        <w:t>A través del escrito presentado el 23 de febrero del 2011, el Adjudicatario absolvió el recurso impugnativo interpuesto, bajo los siguiente argumentos:</w:t>
      </w:r>
    </w:p>
    <w:p w:rsidR="002E78D8" w:rsidRDefault="002E78D8" w:rsidP="002E78D8">
      <w:pPr>
        <w:pStyle w:val="Prrafodelista"/>
        <w:ind w:left="567"/>
        <w:jc w:val="both"/>
        <w:rPr>
          <w:rFonts w:ascii="Tahoma" w:hAnsi="Tahoma" w:cs="Tahoma"/>
          <w:sz w:val="22"/>
          <w:szCs w:val="22"/>
        </w:rPr>
      </w:pPr>
    </w:p>
    <w:p w:rsidR="002E78D8" w:rsidRPr="00E71B09" w:rsidRDefault="002E78D8" w:rsidP="002E78D8">
      <w:pPr>
        <w:pStyle w:val="Prrafodelista"/>
        <w:ind w:left="567"/>
        <w:jc w:val="both"/>
        <w:rPr>
          <w:rFonts w:ascii="Tahoma" w:hAnsi="Tahoma" w:cs="Tahoma"/>
          <w:b/>
          <w:sz w:val="22"/>
          <w:szCs w:val="22"/>
        </w:rPr>
      </w:pPr>
      <w:r w:rsidRPr="00E71B09">
        <w:rPr>
          <w:rFonts w:ascii="Tahoma" w:hAnsi="Tahoma" w:cs="Tahoma"/>
          <w:b/>
          <w:sz w:val="22"/>
          <w:szCs w:val="22"/>
        </w:rPr>
        <w:t>RES</w:t>
      </w:r>
      <w:r>
        <w:rPr>
          <w:rFonts w:ascii="Tahoma" w:hAnsi="Tahoma" w:cs="Tahoma"/>
          <w:b/>
          <w:sz w:val="22"/>
          <w:szCs w:val="22"/>
        </w:rPr>
        <w:t>PECTO A LA DESCALIFICACIÓN DEL</w:t>
      </w:r>
      <w:r w:rsidRPr="00E71B09">
        <w:rPr>
          <w:rFonts w:ascii="Tahoma" w:hAnsi="Tahoma" w:cs="Tahoma"/>
          <w:b/>
          <w:sz w:val="22"/>
          <w:szCs w:val="22"/>
        </w:rPr>
        <w:t xml:space="preserve"> IMPUGNANTE</w:t>
      </w:r>
    </w:p>
    <w:p w:rsidR="002E78D8" w:rsidRPr="002918D2" w:rsidRDefault="002E78D8" w:rsidP="002E78D8">
      <w:pPr>
        <w:pStyle w:val="Prrafodelista"/>
        <w:ind w:left="567"/>
        <w:jc w:val="both"/>
        <w:rPr>
          <w:rFonts w:ascii="Tahoma" w:hAnsi="Tahoma" w:cs="Tahoma"/>
          <w:sz w:val="22"/>
          <w:szCs w:val="22"/>
        </w:rPr>
      </w:pPr>
    </w:p>
    <w:p w:rsidR="002E78D8" w:rsidRDefault="002E78D8" w:rsidP="002E78D8">
      <w:pPr>
        <w:pStyle w:val="Prrafodelista"/>
        <w:widowControl w:val="0"/>
        <w:numPr>
          <w:ilvl w:val="0"/>
          <w:numId w:val="22"/>
        </w:numPr>
        <w:suppressAutoHyphens/>
        <w:ind w:left="1134" w:hanging="567"/>
        <w:jc w:val="both"/>
        <w:rPr>
          <w:rFonts w:ascii="Tahoma" w:hAnsi="Tahoma" w:cs="Tahoma"/>
          <w:sz w:val="22"/>
          <w:szCs w:val="22"/>
        </w:rPr>
      </w:pPr>
      <w:r>
        <w:rPr>
          <w:rFonts w:ascii="Tahoma" w:hAnsi="Tahoma" w:cs="Tahoma"/>
          <w:sz w:val="22"/>
          <w:szCs w:val="22"/>
        </w:rPr>
        <w:t xml:space="preserve">De acuerdo a lo establecido en las Bases, los requisitos de experiencia del postor debía ser acreditada a través de la presentación de copias simples de los contratos referidos a la venta de Sistemas de Diálisis Peritoneal Automatizado Continua (DIPAC) a personas naturales o jurídicas, y con los respectivos comprobantes de pago en los que conste las ventas realizadas; mientras que el cumplimiento de la prestación se requería presentar copia de los certificados o constancias que acrediten el cumplimiento de la prestación sin que se haya incurrido en penalidades, es decir, constancias </w:t>
      </w:r>
      <w:r>
        <w:rPr>
          <w:rFonts w:ascii="Tahoma" w:hAnsi="Tahoma" w:cs="Tahoma"/>
          <w:sz w:val="22"/>
          <w:szCs w:val="22"/>
        </w:rPr>
        <w:lastRenderedPageBreak/>
        <w:t>que acrediten que se ha cumplido con vender productos idóneos a los clientes y que éstos hayan estado satisfechos con los mismos.</w:t>
      </w:r>
    </w:p>
    <w:p w:rsidR="002E78D8" w:rsidRDefault="002E78D8" w:rsidP="002E78D8">
      <w:pPr>
        <w:pStyle w:val="Prrafodelista"/>
        <w:ind w:left="1134" w:hanging="567"/>
        <w:jc w:val="both"/>
        <w:rPr>
          <w:rFonts w:ascii="Tahoma" w:hAnsi="Tahoma" w:cs="Tahoma"/>
          <w:sz w:val="22"/>
          <w:szCs w:val="22"/>
        </w:rPr>
      </w:pPr>
    </w:p>
    <w:p w:rsidR="002E78D8" w:rsidRDefault="002E78D8" w:rsidP="002E78D8">
      <w:pPr>
        <w:pStyle w:val="Prrafodelista"/>
        <w:widowControl w:val="0"/>
        <w:numPr>
          <w:ilvl w:val="0"/>
          <w:numId w:val="22"/>
        </w:numPr>
        <w:suppressAutoHyphens/>
        <w:ind w:left="1134" w:hanging="567"/>
        <w:jc w:val="both"/>
        <w:rPr>
          <w:rFonts w:ascii="Tahoma" w:hAnsi="Tahoma" w:cs="Tahoma"/>
          <w:sz w:val="22"/>
          <w:szCs w:val="22"/>
        </w:rPr>
      </w:pPr>
      <w:r>
        <w:rPr>
          <w:rFonts w:ascii="Tahoma" w:hAnsi="Tahoma" w:cs="Tahoma"/>
          <w:sz w:val="22"/>
          <w:szCs w:val="22"/>
        </w:rPr>
        <w:t>En ese sentido, el objetivo de las Bases era que el postor ganador fuera aquel que pudiera demostrar su capacidad para suministrar de manera continua e idónea sistemas de diálisis a los clientes, es decir, un proveedor con la experiencia necesaria para realizar ventas de manera directa a un cliente, por lo que exigía la presentación de contratos previos de venta de sistemas de diálisis, y a su vez, la presentación de constancias que permita acreditar el nivel de satisfacción de los clientes con el cumplimiento de los contratos.</w:t>
      </w:r>
    </w:p>
    <w:p w:rsidR="002E78D8" w:rsidRDefault="002E78D8" w:rsidP="002E78D8">
      <w:pPr>
        <w:pStyle w:val="Prrafodelista"/>
        <w:ind w:left="1134" w:hanging="567"/>
        <w:jc w:val="both"/>
        <w:rPr>
          <w:rFonts w:ascii="Tahoma" w:hAnsi="Tahoma" w:cs="Tahoma"/>
          <w:sz w:val="22"/>
          <w:szCs w:val="22"/>
        </w:rPr>
      </w:pPr>
    </w:p>
    <w:p w:rsidR="002E78D8" w:rsidRDefault="002E78D8" w:rsidP="002E78D8">
      <w:pPr>
        <w:pStyle w:val="Prrafodelista"/>
        <w:widowControl w:val="0"/>
        <w:numPr>
          <w:ilvl w:val="0"/>
          <w:numId w:val="22"/>
        </w:numPr>
        <w:suppressAutoHyphens/>
        <w:ind w:left="1134" w:hanging="567"/>
        <w:jc w:val="both"/>
        <w:rPr>
          <w:rFonts w:ascii="Tahoma" w:hAnsi="Tahoma" w:cs="Tahoma"/>
          <w:sz w:val="22"/>
          <w:szCs w:val="22"/>
        </w:rPr>
      </w:pPr>
      <w:r>
        <w:rPr>
          <w:rFonts w:ascii="Tahoma" w:hAnsi="Tahoma" w:cs="Tahoma"/>
          <w:sz w:val="22"/>
          <w:szCs w:val="22"/>
        </w:rPr>
        <w:t>De lo señalado, el Impugnante no ha podido presentar ningún documento que permita acreditar la venta de sistemas de diálisis a clientes (ni públicos ni privados) y mucho menos que ellos hayan estado satisfechos con el servicio, toda vez que sólo se ha limitado a presentar un Contrato de Distribución, y lo único que se puede apreciar de dicho contrato es que la Impugnante tenía un distribuidor; más no se puede acreditar que haya efectuado en forma directa ventas a clientes finales, y mucho menos que éstos hayan quedado satisfechos con sus productos o servicios.</w:t>
      </w:r>
    </w:p>
    <w:p w:rsidR="002E78D8" w:rsidRDefault="002E78D8" w:rsidP="002E78D8">
      <w:pPr>
        <w:pStyle w:val="Prrafodelista"/>
        <w:ind w:left="1134" w:hanging="567"/>
        <w:jc w:val="both"/>
        <w:rPr>
          <w:rFonts w:ascii="Tahoma" w:hAnsi="Tahoma" w:cs="Tahoma"/>
          <w:sz w:val="22"/>
          <w:szCs w:val="22"/>
        </w:rPr>
      </w:pPr>
    </w:p>
    <w:p w:rsidR="002E78D8" w:rsidRDefault="002E78D8" w:rsidP="002E78D8">
      <w:pPr>
        <w:pStyle w:val="Prrafodelista"/>
        <w:widowControl w:val="0"/>
        <w:numPr>
          <w:ilvl w:val="0"/>
          <w:numId w:val="22"/>
        </w:numPr>
        <w:suppressAutoHyphens/>
        <w:ind w:left="1134" w:hanging="567"/>
        <w:jc w:val="both"/>
        <w:rPr>
          <w:rFonts w:ascii="Tahoma" w:hAnsi="Tahoma" w:cs="Tahoma"/>
          <w:sz w:val="22"/>
          <w:szCs w:val="22"/>
        </w:rPr>
      </w:pPr>
      <w:r>
        <w:rPr>
          <w:rFonts w:ascii="Tahoma" w:hAnsi="Tahoma" w:cs="Tahoma"/>
          <w:sz w:val="22"/>
          <w:szCs w:val="22"/>
        </w:rPr>
        <w:t>En efecto, un contrato de compraventa es distinto a un contrato de distribución, toda vez que con el primero se busca verificar que el postor tenga experiencia en la venta de los productos materia de licitación, y en específico, si tiene la capacidad suficiente para, durante la vigencia de un contrato, mantener un suministro continuo a favor de un cliente de manera idónea, mientras que un contrato de distribución únicamente acredita que el postor tiene un distribuidor y que ha mantenido una relación con el mismo por un plazo determinado, y será dicho distribuidor el que comercializa y vende a clientes el producto respectivo.</w:t>
      </w:r>
    </w:p>
    <w:p w:rsidR="002E78D8" w:rsidRDefault="002E78D8" w:rsidP="002E78D8">
      <w:pPr>
        <w:pStyle w:val="Prrafodelista"/>
        <w:ind w:left="1134" w:hanging="567"/>
        <w:jc w:val="both"/>
        <w:rPr>
          <w:rFonts w:ascii="Tahoma" w:hAnsi="Tahoma" w:cs="Tahoma"/>
          <w:sz w:val="22"/>
          <w:szCs w:val="22"/>
        </w:rPr>
      </w:pPr>
    </w:p>
    <w:p w:rsidR="002E78D8" w:rsidRDefault="002E78D8" w:rsidP="002E78D8">
      <w:pPr>
        <w:pStyle w:val="Prrafodelista"/>
        <w:widowControl w:val="0"/>
        <w:numPr>
          <w:ilvl w:val="0"/>
          <w:numId w:val="22"/>
        </w:numPr>
        <w:suppressAutoHyphens/>
        <w:ind w:left="1134" w:hanging="567"/>
        <w:jc w:val="both"/>
        <w:rPr>
          <w:rFonts w:ascii="Tahoma" w:hAnsi="Tahoma" w:cs="Tahoma"/>
          <w:sz w:val="22"/>
          <w:szCs w:val="22"/>
        </w:rPr>
      </w:pPr>
      <w:r>
        <w:rPr>
          <w:rFonts w:ascii="Tahoma" w:hAnsi="Tahoma" w:cs="Tahoma"/>
          <w:sz w:val="22"/>
          <w:szCs w:val="22"/>
        </w:rPr>
        <w:t>En tal sentido, a través del Contrato de Distribución presentado por el Impugnante, no se puede apreciar que tenga experiencia en el trato directo con clientes en la atención de sus demandas, ni el know – how suficiente para el abastecimiento, tal como se puede apreciar en las cláusulas 5.7 y 6.5, toda vez que el fabricante, es decir el Impugnante, no vende ni tiene contacto con los clientes, al limitarse a proporcionar productos a su distribuidor.</w:t>
      </w:r>
    </w:p>
    <w:p w:rsidR="002E78D8" w:rsidRDefault="002E78D8" w:rsidP="002E78D8">
      <w:pPr>
        <w:pStyle w:val="Prrafodelista"/>
        <w:ind w:left="1134" w:hanging="567"/>
        <w:jc w:val="both"/>
        <w:rPr>
          <w:rFonts w:ascii="Tahoma" w:hAnsi="Tahoma" w:cs="Tahoma"/>
          <w:sz w:val="22"/>
          <w:szCs w:val="22"/>
        </w:rPr>
      </w:pPr>
    </w:p>
    <w:p w:rsidR="002E78D8" w:rsidRDefault="002E78D8" w:rsidP="002E78D8">
      <w:pPr>
        <w:pStyle w:val="Prrafodelista"/>
        <w:widowControl w:val="0"/>
        <w:numPr>
          <w:ilvl w:val="0"/>
          <w:numId w:val="22"/>
        </w:numPr>
        <w:suppressAutoHyphens/>
        <w:ind w:left="1134" w:hanging="567"/>
        <w:jc w:val="both"/>
        <w:rPr>
          <w:rFonts w:ascii="Tahoma" w:hAnsi="Tahoma" w:cs="Tahoma"/>
          <w:sz w:val="22"/>
          <w:szCs w:val="22"/>
        </w:rPr>
      </w:pPr>
      <w:r>
        <w:rPr>
          <w:rFonts w:ascii="Tahoma" w:hAnsi="Tahoma" w:cs="Tahoma"/>
          <w:sz w:val="22"/>
          <w:szCs w:val="22"/>
        </w:rPr>
        <w:t>Asimismo, el Impugnante tampoco ha podido acreditar el cumplimiento de sus servicios a satisfacción de sus clientes, toda vez que en su propuesta técnica no existe ningún documento emitido por un cliente (público o privado) en el que se acredite la conformidad con los productos entregados, toda vez que se ha limitado ha presentar la constancia emitida por su propio distribuidor de los productos que le fueron entregados.</w:t>
      </w:r>
    </w:p>
    <w:p w:rsidR="002E78D8" w:rsidRPr="002918D2" w:rsidRDefault="002E78D8" w:rsidP="002E78D8">
      <w:pPr>
        <w:pStyle w:val="Prrafodelista"/>
        <w:ind w:left="1134" w:hanging="567"/>
        <w:jc w:val="both"/>
        <w:rPr>
          <w:rFonts w:ascii="Tahoma" w:hAnsi="Tahoma" w:cs="Tahoma"/>
          <w:sz w:val="22"/>
          <w:szCs w:val="22"/>
        </w:rPr>
      </w:pPr>
    </w:p>
    <w:p w:rsidR="002E78D8" w:rsidRDefault="002E78D8" w:rsidP="002E78D8">
      <w:pPr>
        <w:pStyle w:val="Prrafodelista"/>
        <w:widowControl w:val="0"/>
        <w:numPr>
          <w:ilvl w:val="0"/>
          <w:numId w:val="22"/>
        </w:numPr>
        <w:suppressAutoHyphens/>
        <w:ind w:left="1134" w:hanging="567"/>
        <w:jc w:val="both"/>
        <w:rPr>
          <w:rFonts w:ascii="Tahoma" w:hAnsi="Tahoma" w:cs="Tahoma"/>
          <w:sz w:val="22"/>
          <w:szCs w:val="22"/>
        </w:rPr>
      </w:pPr>
      <w:r>
        <w:rPr>
          <w:rFonts w:ascii="Tahoma" w:hAnsi="Tahoma" w:cs="Tahoma"/>
          <w:sz w:val="22"/>
          <w:szCs w:val="22"/>
        </w:rPr>
        <w:t>En efecto, la constancia emitida por Hersil no prueba que los clientes que recibieron y utilizaron los productos hayan quedado satisfechos, toda vez que lo que acredita es que existe una relación de distribución entre el Impugnante y Hersil, y este último certifica que el primer ha cumplido con ella a satisfacción, pero no certifica que se cumplió con los clientes.</w:t>
      </w:r>
    </w:p>
    <w:p w:rsidR="002E78D8" w:rsidRDefault="002E78D8" w:rsidP="002E78D8">
      <w:pPr>
        <w:pStyle w:val="Prrafodelista"/>
        <w:ind w:left="1134" w:hanging="567"/>
        <w:jc w:val="both"/>
        <w:rPr>
          <w:rFonts w:ascii="Tahoma" w:hAnsi="Tahoma" w:cs="Tahoma"/>
          <w:sz w:val="22"/>
          <w:szCs w:val="22"/>
        </w:rPr>
      </w:pPr>
    </w:p>
    <w:p w:rsidR="002E78D8" w:rsidRPr="002918D2" w:rsidRDefault="002E78D8" w:rsidP="002E78D8">
      <w:pPr>
        <w:pStyle w:val="Prrafodelista"/>
        <w:widowControl w:val="0"/>
        <w:numPr>
          <w:ilvl w:val="0"/>
          <w:numId w:val="22"/>
        </w:numPr>
        <w:suppressAutoHyphens/>
        <w:ind w:left="1134" w:hanging="567"/>
        <w:jc w:val="both"/>
        <w:rPr>
          <w:rFonts w:ascii="Tahoma" w:hAnsi="Tahoma" w:cs="Tahoma"/>
          <w:sz w:val="22"/>
          <w:szCs w:val="22"/>
        </w:rPr>
      </w:pPr>
      <w:r>
        <w:rPr>
          <w:rFonts w:ascii="Tahoma" w:hAnsi="Tahoma" w:cs="Tahoma"/>
          <w:sz w:val="22"/>
          <w:szCs w:val="22"/>
        </w:rPr>
        <w:t xml:space="preserve">Frente a todo lo señalado, cabe precisar que el Impugnante conocía que era incapacaz de acreditar su experiencia, es por ello que participó en otros procesos de selección en consorcio con su distribuidor, es decir la empresa Hersil, de tal manera que está última acreditaba la experiencia a través de contratos de venta a sus clientes, no obstante ello, en el presente proceso de selección la Impugnante no pudo participar con Hersil, al ser inhabilitada para contratar con el Estado mediante la Resolución N° 1624-2010-TC-S1 </w:t>
      </w:r>
    </w:p>
    <w:p w:rsidR="002E78D8" w:rsidRDefault="002E78D8" w:rsidP="002E78D8">
      <w:pPr>
        <w:pStyle w:val="Prrafodelista"/>
        <w:ind w:left="567"/>
        <w:jc w:val="both"/>
        <w:rPr>
          <w:rFonts w:ascii="Tahoma" w:hAnsi="Tahoma" w:cs="Tahoma"/>
          <w:sz w:val="22"/>
          <w:szCs w:val="22"/>
        </w:rPr>
      </w:pPr>
    </w:p>
    <w:p w:rsidR="002E78D8" w:rsidRPr="00AF0E37" w:rsidRDefault="002E78D8" w:rsidP="002E78D8">
      <w:pPr>
        <w:pStyle w:val="Prrafodelista"/>
        <w:ind w:left="567"/>
        <w:jc w:val="both"/>
        <w:rPr>
          <w:rFonts w:ascii="Tahoma" w:hAnsi="Tahoma" w:cs="Tahoma"/>
          <w:b/>
          <w:sz w:val="22"/>
          <w:szCs w:val="22"/>
        </w:rPr>
      </w:pPr>
      <w:r w:rsidRPr="00AF0E37">
        <w:rPr>
          <w:rFonts w:ascii="Tahoma" w:hAnsi="Tahoma" w:cs="Tahoma"/>
          <w:b/>
          <w:sz w:val="22"/>
          <w:szCs w:val="22"/>
        </w:rPr>
        <w:t>RESPECTO AL CUMPLIMI</w:t>
      </w:r>
      <w:r>
        <w:rPr>
          <w:rFonts w:ascii="Tahoma" w:hAnsi="Tahoma" w:cs="Tahoma"/>
          <w:b/>
          <w:sz w:val="22"/>
          <w:szCs w:val="22"/>
        </w:rPr>
        <w:t>ENTO DE LA PROPUESTA TÉCNICA DEL ADJUDICATARIO</w:t>
      </w:r>
    </w:p>
    <w:p w:rsidR="002E78D8" w:rsidRDefault="002E78D8" w:rsidP="002E78D8">
      <w:pPr>
        <w:pStyle w:val="Prrafodelista"/>
        <w:ind w:left="567"/>
        <w:jc w:val="both"/>
        <w:rPr>
          <w:rFonts w:ascii="Tahoma" w:hAnsi="Tahoma" w:cs="Tahoma"/>
          <w:sz w:val="22"/>
          <w:szCs w:val="22"/>
        </w:rPr>
      </w:pPr>
    </w:p>
    <w:p w:rsidR="002E78D8" w:rsidRPr="00AF0E37" w:rsidRDefault="002E78D8" w:rsidP="002E78D8">
      <w:pPr>
        <w:pStyle w:val="Prrafodelista"/>
        <w:ind w:left="567"/>
        <w:jc w:val="both"/>
        <w:rPr>
          <w:rFonts w:ascii="Tahoma" w:hAnsi="Tahoma" w:cs="Tahoma"/>
          <w:b/>
          <w:sz w:val="22"/>
          <w:szCs w:val="22"/>
        </w:rPr>
      </w:pPr>
      <w:r w:rsidRPr="00AF0E37">
        <w:rPr>
          <w:rFonts w:ascii="Tahoma" w:hAnsi="Tahoma" w:cs="Tahoma"/>
          <w:b/>
          <w:sz w:val="22"/>
          <w:szCs w:val="22"/>
        </w:rPr>
        <w:t>LA LINEA DE DRENAJE CUMPLE CON LAS BASES INTEGRADAS</w:t>
      </w:r>
    </w:p>
    <w:p w:rsidR="002E78D8" w:rsidRDefault="002E78D8" w:rsidP="002E78D8">
      <w:pPr>
        <w:pStyle w:val="Prrafodelista"/>
        <w:ind w:left="567"/>
        <w:jc w:val="both"/>
        <w:rPr>
          <w:rFonts w:ascii="Tahoma" w:hAnsi="Tahoma" w:cs="Tahoma"/>
          <w:sz w:val="22"/>
          <w:szCs w:val="22"/>
        </w:rPr>
      </w:pPr>
    </w:p>
    <w:p w:rsidR="002E78D8" w:rsidRDefault="002E78D8" w:rsidP="002E78D8">
      <w:pPr>
        <w:pStyle w:val="Prrafodelista"/>
        <w:widowControl w:val="0"/>
        <w:numPr>
          <w:ilvl w:val="0"/>
          <w:numId w:val="23"/>
        </w:numPr>
        <w:suppressAutoHyphens/>
        <w:ind w:left="1134" w:hanging="567"/>
        <w:jc w:val="both"/>
        <w:rPr>
          <w:rFonts w:ascii="Tahoma" w:hAnsi="Tahoma" w:cs="Tahoma"/>
          <w:sz w:val="22"/>
          <w:szCs w:val="22"/>
        </w:rPr>
      </w:pPr>
      <w:r>
        <w:rPr>
          <w:rFonts w:ascii="Tahoma" w:hAnsi="Tahoma" w:cs="Tahoma"/>
          <w:sz w:val="22"/>
          <w:szCs w:val="22"/>
        </w:rPr>
        <w:t>Mediante el Certificado de Análisis que consta en el folio 108 (con traducción en el folio 106) de su propuesta técnica, documento Técnico Sanitario emitido por el organismo certificador del país de origen en el que se detallan las conclusiones de los análisis realizados al producto, se consignó que para esterilizar la Línea de Drenaje, se aplicó el Método de Óxido de Etileno, verificándose dicha condición en la etiqueta del empaque del producto, cumpliéndose de esta manera con lo establecido en las Bases Integradas.</w:t>
      </w:r>
    </w:p>
    <w:p w:rsidR="002E78D8" w:rsidRDefault="002E78D8" w:rsidP="002E78D8">
      <w:pPr>
        <w:pStyle w:val="Prrafodelista"/>
        <w:ind w:left="1134" w:hanging="567"/>
        <w:jc w:val="both"/>
        <w:rPr>
          <w:rFonts w:ascii="Tahoma" w:hAnsi="Tahoma" w:cs="Tahoma"/>
          <w:sz w:val="22"/>
          <w:szCs w:val="22"/>
        </w:rPr>
      </w:pPr>
    </w:p>
    <w:p w:rsidR="002E78D8" w:rsidRDefault="002E78D8" w:rsidP="002E78D8">
      <w:pPr>
        <w:pStyle w:val="Prrafodelista"/>
        <w:widowControl w:val="0"/>
        <w:numPr>
          <w:ilvl w:val="0"/>
          <w:numId w:val="23"/>
        </w:numPr>
        <w:suppressAutoHyphens/>
        <w:ind w:left="1134" w:hanging="567"/>
        <w:jc w:val="both"/>
        <w:rPr>
          <w:rFonts w:ascii="Tahoma" w:hAnsi="Tahoma" w:cs="Tahoma"/>
          <w:sz w:val="22"/>
          <w:szCs w:val="22"/>
        </w:rPr>
      </w:pPr>
      <w:r>
        <w:rPr>
          <w:rFonts w:ascii="Tahoma" w:hAnsi="Tahoma" w:cs="Tahoma"/>
          <w:sz w:val="22"/>
          <w:szCs w:val="22"/>
        </w:rPr>
        <w:t>Cabe precisar que, si bien es cierto puede haber existido un error en la declaración jurada y la especificación técnica, al indicarse como el método de esterilización el vapor, no es menos cierto que no afecta la calificación de su propuesta técnica, toda vez que se ha acreditado del certificado de análisis y la etiqueta del producto que es estéril y el método de esterilización es el óxido de etileno, asimismo, agregó que no se ha adjuntado prueba alguna que pueda cuestionar el carácter estéril de dicho producto y, además, las Bases no exigían el método específico de esterilización, por lo tanto, no había ninguna diferencia respecto a si se mencionaba como método el “óxido de etileno” o el “vapor”.</w:t>
      </w:r>
    </w:p>
    <w:p w:rsidR="002E78D8" w:rsidRDefault="002E78D8" w:rsidP="002E78D8">
      <w:pPr>
        <w:pStyle w:val="Prrafodelista"/>
        <w:ind w:left="567"/>
        <w:jc w:val="both"/>
        <w:rPr>
          <w:rFonts w:ascii="Tahoma" w:hAnsi="Tahoma" w:cs="Tahoma"/>
          <w:sz w:val="22"/>
          <w:szCs w:val="22"/>
        </w:rPr>
      </w:pPr>
    </w:p>
    <w:p w:rsidR="002E78D8" w:rsidRPr="00214B45" w:rsidRDefault="002E78D8" w:rsidP="002E78D8">
      <w:pPr>
        <w:pStyle w:val="Prrafodelista"/>
        <w:ind w:left="567"/>
        <w:jc w:val="both"/>
        <w:rPr>
          <w:rFonts w:ascii="Tahoma" w:hAnsi="Tahoma" w:cs="Tahoma"/>
          <w:b/>
          <w:sz w:val="22"/>
          <w:szCs w:val="22"/>
        </w:rPr>
      </w:pPr>
      <w:r w:rsidRPr="00214B45">
        <w:rPr>
          <w:rFonts w:ascii="Tahoma" w:hAnsi="Tahoma" w:cs="Tahoma"/>
          <w:b/>
          <w:sz w:val="22"/>
          <w:szCs w:val="22"/>
        </w:rPr>
        <w:t>EL OBTURADO</w:t>
      </w:r>
      <w:r>
        <w:rPr>
          <w:rFonts w:ascii="Tahoma" w:hAnsi="Tahoma" w:cs="Tahoma"/>
          <w:b/>
          <w:sz w:val="22"/>
          <w:szCs w:val="22"/>
        </w:rPr>
        <w:t>R</w:t>
      </w:r>
      <w:r w:rsidRPr="00214B45">
        <w:rPr>
          <w:rFonts w:ascii="Tahoma" w:hAnsi="Tahoma" w:cs="Tahoma"/>
          <w:b/>
          <w:sz w:val="22"/>
          <w:szCs w:val="22"/>
        </w:rPr>
        <w:t xml:space="preserve"> CUMPLE CON LAS BASES INTEGRADAS</w:t>
      </w:r>
    </w:p>
    <w:p w:rsidR="002E78D8" w:rsidRDefault="002E78D8" w:rsidP="002E78D8">
      <w:pPr>
        <w:pStyle w:val="Prrafodelista"/>
        <w:ind w:left="567"/>
        <w:jc w:val="both"/>
        <w:rPr>
          <w:rFonts w:ascii="Tahoma" w:hAnsi="Tahoma" w:cs="Tahoma"/>
          <w:sz w:val="22"/>
          <w:szCs w:val="22"/>
        </w:rPr>
      </w:pPr>
    </w:p>
    <w:p w:rsidR="002E78D8" w:rsidRDefault="002E78D8" w:rsidP="002E78D8">
      <w:pPr>
        <w:pStyle w:val="Prrafodelista"/>
        <w:widowControl w:val="0"/>
        <w:numPr>
          <w:ilvl w:val="0"/>
          <w:numId w:val="24"/>
        </w:numPr>
        <w:suppressAutoHyphens/>
        <w:ind w:left="1134" w:hanging="567"/>
        <w:jc w:val="both"/>
        <w:rPr>
          <w:rFonts w:ascii="Tahoma" w:hAnsi="Tahoma" w:cs="Tahoma"/>
          <w:sz w:val="22"/>
          <w:szCs w:val="22"/>
        </w:rPr>
      </w:pPr>
      <w:r>
        <w:rPr>
          <w:rFonts w:ascii="Tahoma" w:hAnsi="Tahoma" w:cs="Tahoma"/>
          <w:sz w:val="22"/>
          <w:szCs w:val="22"/>
        </w:rPr>
        <w:t xml:space="preserve">Se ha acreditado que el Obturador es un material de condición estéril, toda vez que a folio 92 de su propuesta técnica, obra la Carta del Fabricante en </w:t>
      </w:r>
      <w:r>
        <w:rPr>
          <w:rFonts w:ascii="Tahoma" w:hAnsi="Tahoma" w:cs="Tahoma"/>
          <w:sz w:val="22"/>
          <w:szCs w:val="22"/>
        </w:rPr>
        <w:lastRenderedPageBreak/>
        <w:t>la que se señala que el producto es estéril, al explicarse que cada obturador cuenta con un tapón desinfectante stay- safe, basado en yodopovidona, que lo mantiene esterilizado, por lo que no era necesario emplear algún otro método de esterilización adicional.</w:t>
      </w:r>
    </w:p>
    <w:p w:rsidR="002E78D8" w:rsidRDefault="002E78D8" w:rsidP="002E78D8">
      <w:pPr>
        <w:pStyle w:val="Prrafodelista"/>
        <w:ind w:left="1134" w:hanging="567"/>
        <w:jc w:val="both"/>
        <w:rPr>
          <w:rFonts w:ascii="Tahoma" w:hAnsi="Tahoma" w:cs="Tahoma"/>
          <w:sz w:val="22"/>
          <w:szCs w:val="22"/>
        </w:rPr>
      </w:pPr>
    </w:p>
    <w:p w:rsidR="002E78D8" w:rsidRDefault="002E78D8" w:rsidP="002E78D8">
      <w:pPr>
        <w:pStyle w:val="Prrafodelista"/>
        <w:widowControl w:val="0"/>
        <w:numPr>
          <w:ilvl w:val="0"/>
          <w:numId w:val="24"/>
        </w:numPr>
        <w:suppressAutoHyphens/>
        <w:ind w:left="1134" w:hanging="567"/>
        <w:jc w:val="both"/>
        <w:rPr>
          <w:rFonts w:ascii="Tahoma" w:hAnsi="Tahoma" w:cs="Tahoma"/>
          <w:sz w:val="22"/>
          <w:szCs w:val="22"/>
        </w:rPr>
      </w:pPr>
      <w:r>
        <w:rPr>
          <w:rFonts w:ascii="Tahoma" w:hAnsi="Tahoma" w:cs="Tahoma"/>
          <w:sz w:val="22"/>
          <w:szCs w:val="22"/>
        </w:rPr>
        <w:t>Si bien es cierto, en la Declaración Jurada (folio 28) se señaló que el producto no requería método de esterilización y que, sin embargo, en la especificación técnica se dice que dicho producto ha sido esterilizado con óxido de etileno (folio 30), lo cierto es que en la Declaración Jurada y en la Carta del fabricante, se puede acreditar que su producto no requiere de un método de esterilización, al contar con un tapa conteniendo “yodopovidona” el cual es un poderoso desinfectante.</w:t>
      </w:r>
    </w:p>
    <w:p w:rsidR="002E78D8" w:rsidRDefault="002E78D8" w:rsidP="002E78D8">
      <w:pPr>
        <w:pStyle w:val="Prrafodelista"/>
        <w:ind w:left="1134" w:hanging="567"/>
        <w:jc w:val="both"/>
        <w:rPr>
          <w:rFonts w:ascii="Tahoma" w:hAnsi="Tahoma" w:cs="Tahoma"/>
          <w:sz w:val="22"/>
          <w:szCs w:val="22"/>
        </w:rPr>
      </w:pPr>
    </w:p>
    <w:p w:rsidR="002E78D8" w:rsidRDefault="002E78D8" w:rsidP="002E78D8">
      <w:pPr>
        <w:pStyle w:val="Prrafodelista"/>
        <w:widowControl w:val="0"/>
        <w:numPr>
          <w:ilvl w:val="0"/>
          <w:numId w:val="24"/>
        </w:numPr>
        <w:suppressAutoHyphens/>
        <w:ind w:left="1134" w:hanging="567"/>
        <w:jc w:val="both"/>
        <w:rPr>
          <w:rFonts w:ascii="Tahoma" w:hAnsi="Tahoma" w:cs="Tahoma"/>
          <w:sz w:val="22"/>
          <w:szCs w:val="22"/>
        </w:rPr>
      </w:pPr>
      <w:r>
        <w:rPr>
          <w:rFonts w:ascii="Tahoma" w:hAnsi="Tahoma" w:cs="Tahoma"/>
          <w:sz w:val="22"/>
          <w:szCs w:val="22"/>
        </w:rPr>
        <w:t xml:space="preserve">Por lo tanto, si bien existió un error en la especificación técnica cuando se indicó que el método de esterilización era óxido de etileno, ello en absoluto debe afectar su propuesta técnica, toda vez que el producto no requería método de esterilización, al tener una tapa que contiene un desinfectante y ,además, las Bases no exigieron que se utilizará un método específico para asegurar la esterilidad del producto, por lo tanto, no es relevante si el producto es estéril por el “óxido de etileno” (que no se aplica al producto) o por las características del producto contenido en la tapa desinfectante. </w:t>
      </w:r>
    </w:p>
    <w:p w:rsidR="002E78D8" w:rsidRDefault="002E78D8" w:rsidP="002E78D8">
      <w:pPr>
        <w:pStyle w:val="Prrafodelista"/>
        <w:ind w:left="567"/>
        <w:jc w:val="both"/>
        <w:rPr>
          <w:rFonts w:ascii="Tahoma" w:hAnsi="Tahoma" w:cs="Tahoma"/>
          <w:sz w:val="22"/>
          <w:szCs w:val="22"/>
        </w:rPr>
      </w:pPr>
    </w:p>
    <w:p w:rsidR="002E78D8" w:rsidRPr="00214B45" w:rsidRDefault="002E78D8" w:rsidP="002E78D8">
      <w:pPr>
        <w:pStyle w:val="Prrafodelista"/>
        <w:ind w:left="567"/>
        <w:jc w:val="both"/>
        <w:rPr>
          <w:rFonts w:ascii="Tahoma" w:hAnsi="Tahoma" w:cs="Tahoma"/>
          <w:b/>
          <w:sz w:val="22"/>
          <w:szCs w:val="22"/>
        </w:rPr>
      </w:pPr>
      <w:r w:rsidRPr="00214B45">
        <w:rPr>
          <w:rFonts w:ascii="Tahoma" w:hAnsi="Tahoma" w:cs="Tahoma"/>
          <w:b/>
          <w:sz w:val="22"/>
          <w:szCs w:val="22"/>
        </w:rPr>
        <w:t>SOBRE LA ANTIGÜEDAD DE LAS MÁQUINAS</w:t>
      </w:r>
    </w:p>
    <w:p w:rsidR="002E78D8" w:rsidRDefault="002E78D8" w:rsidP="002E78D8">
      <w:pPr>
        <w:pStyle w:val="Prrafodelista"/>
        <w:ind w:left="567"/>
        <w:jc w:val="both"/>
        <w:rPr>
          <w:rFonts w:ascii="Tahoma" w:hAnsi="Tahoma" w:cs="Tahoma"/>
          <w:sz w:val="22"/>
          <w:szCs w:val="22"/>
        </w:rPr>
      </w:pPr>
    </w:p>
    <w:p w:rsidR="002E78D8" w:rsidRDefault="002E78D8" w:rsidP="002E78D8">
      <w:pPr>
        <w:pStyle w:val="Prrafodelista"/>
        <w:ind w:left="567"/>
        <w:jc w:val="both"/>
        <w:rPr>
          <w:rFonts w:ascii="Tahoma" w:hAnsi="Tahoma" w:cs="Tahoma"/>
          <w:sz w:val="22"/>
          <w:szCs w:val="22"/>
        </w:rPr>
      </w:pPr>
      <w:r>
        <w:rPr>
          <w:rFonts w:ascii="Tahoma" w:hAnsi="Tahoma" w:cs="Tahoma"/>
          <w:sz w:val="22"/>
          <w:szCs w:val="22"/>
        </w:rPr>
        <w:t>En el acápite denominado “Características del Equipo de Cesión de Uso”, del Capítulo IV de las Bases, no se exigió presentar un documento que acredite la antigüedad de las máquinas, toda vez que simplemente dicen que los equipos tendrán una antigüedad no mayor a tres años al momento de la instalación, por lo tanto, presentó una Declaración Jurada en la cual declaró que su propuesta cumple con los requerimiento técnicos mínimos establecidos en dicho capítulo, incluyendo el compromiso de que las máquinas no tendrían una antigüedad mayor a tres años, cumpliendo de esta manera con lo establecido en las Bases.</w:t>
      </w:r>
    </w:p>
    <w:p w:rsidR="002E78D8" w:rsidRDefault="002E78D8" w:rsidP="002E78D8">
      <w:pPr>
        <w:pStyle w:val="Prrafodelista"/>
        <w:ind w:left="567"/>
        <w:jc w:val="both"/>
        <w:rPr>
          <w:rFonts w:ascii="Tahoma" w:hAnsi="Tahoma" w:cs="Tahoma"/>
          <w:sz w:val="22"/>
          <w:szCs w:val="22"/>
        </w:rPr>
      </w:pPr>
    </w:p>
    <w:p w:rsidR="002E78D8" w:rsidRPr="00214B45" w:rsidRDefault="002E78D8" w:rsidP="002E78D8">
      <w:pPr>
        <w:pStyle w:val="Prrafodelista"/>
        <w:ind w:left="567"/>
        <w:jc w:val="both"/>
        <w:rPr>
          <w:rFonts w:ascii="Tahoma" w:hAnsi="Tahoma" w:cs="Tahoma"/>
          <w:b/>
          <w:sz w:val="22"/>
          <w:szCs w:val="22"/>
        </w:rPr>
      </w:pPr>
      <w:r w:rsidRPr="00214B45">
        <w:rPr>
          <w:rFonts w:ascii="Tahoma" w:hAnsi="Tahoma" w:cs="Tahoma"/>
          <w:b/>
          <w:sz w:val="22"/>
          <w:szCs w:val="22"/>
        </w:rPr>
        <w:t>SOBRE EL PLAZO DE ENTREGA DE LAS MÁQUINAS</w:t>
      </w:r>
    </w:p>
    <w:p w:rsidR="002E78D8" w:rsidRDefault="002E78D8" w:rsidP="002E78D8">
      <w:pPr>
        <w:pStyle w:val="Prrafodelista"/>
        <w:ind w:left="567"/>
        <w:jc w:val="both"/>
        <w:rPr>
          <w:rFonts w:ascii="Tahoma" w:hAnsi="Tahoma" w:cs="Tahoma"/>
          <w:sz w:val="22"/>
          <w:szCs w:val="22"/>
        </w:rPr>
      </w:pPr>
    </w:p>
    <w:p w:rsidR="002E78D8" w:rsidRDefault="002E78D8" w:rsidP="002E78D8">
      <w:pPr>
        <w:pStyle w:val="Prrafodelista"/>
        <w:widowControl w:val="0"/>
        <w:numPr>
          <w:ilvl w:val="0"/>
          <w:numId w:val="25"/>
        </w:numPr>
        <w:suppressAutoHyphens/>
        <w:ind w:left="1134" w:hanging="567"/>
        <w:jc w:val="both"/>
        <w:rPr>
          <w:rFonts w:ascii="Tahoma" w:hAnsi="Tahoma" w:cs="Tahoma"/>
          <w:sz w:val="22"/>
          <w:szCs w:val="22"/>
        </w:rPr>
      </w:pPr>
      <w:r>
        <w:rPr>
          <w:rFonts w:ascii="Tahoma" w:hAnsi="Tahoma" w:cs="Tahoma"/>
          <w:sz w:val="22"/>
          <w:szCs w:val="22"/>
        </w:rPr>
        <w:t>Las Bases no han establecido un plazo de entrega de las máquinas ni tampoco se dispuso que las máquinas se entregarían conjuntamente con las soluciones y material médico.</w:t>
      </w:r>
    </w:p>
    <w:p w:rsidR="002E78D8" w:rsidRDefault="002E78D8" w:rsidP="002E78D8">
      <w:pPr>
        <w:pStyle w:val="Prrafodelista"/>
        <w:ind w:left="1134" w:hanging="567"/>
        <w:jc w:val="both"/>
        <w:rPr>
          <w:rFonts w:ascii="Tahoma" w:hAnsi="Tahoma" w:cs="Tahoma"/>
          <w:sz w:val="22"/>
          <w:szCs w:val="22"/>
        </w:rPr>
      </w:pPr>
    </w:p>
    <w:p w:rsidR="002E78D8" w:rsidRDefault="002E78D8" w:rsidP="002E78D8">
      <w:pPr>
        <w:pStyle w:val="Prrafodelista"/>
        <w:widowControl w:val="0"/>
        <w:numPr>
          <w:ilvl w:val="0"/>
          <w:numId w:val="25"/>
        </w:numPr>
        <w:suppressAutoHyphens/>
        <w:ind w:left="1134" w:hanging="567"/>
        <w:jc w:val="both"/>
        <w:rPr>
          <w:rFonts w:ascii="Tahoma" w:hAnsi="Tahoma" w:cs="Tahoma"/>
          <w:sz w:val="22"/>
          <w:szCs w:val="22"/>
        </w:rPr>
      </w:pPr>
      <w:r>
        <w:rPr>
          <w:rFonts w:ascii="Tahoma" w:hAnsi="Tahoma" w:cs="Tahoma"/>
          <w:sz w:val="22"/>
          <w:szCs w:val="22"/>
        </w:rPr>
        <w:t xml:space="preserve">No obstante ello, cumplió con señalar un plazo de entrega para los equipos de cesión en uso, al consignar a folio 490 de su propuesta técnica, que en caso resultará favorecida con el otorgamiento de la Buena Pro, entregará 45 cicladoras PD NIGHT en 05 días calendarios posteriores a la recepción de la orden de compra correspondiente, plazo razonable y consistente con las Bases, toda vez que en el literal B “Condiciones Generales del </w:t>
      </w:r>
      <w:r>
        <w:rPr>
          <w:rFonts w:ascii="Tahoma" w:hAnsi="Tahoma" w:cs="Tahoma"/>
          <w:sz w:val="22"/>
          <w:szCs w:val="22"/>
        </w:rPr>
        <w:lastRenderedPageBreak/>
        <w:t>Suministro”, se indicó que la primera entrega se realizará como máximo a los cinco (05) días calendarios, contados a partir del día siguiente de la suscripción del contrato (…) Las órdenes de compra para la primera entrega, se proporcionarán al contratista a la firma del contrato”</w:t>
      </w:r>
    </w:p>
    <w:p w:rsidR="002E78D8" w:rsidRDefault="002E78D8" w:rsidP="002E78D8">
      <w:pPr>
        <w:pStyle w:val="Prrafodelista"/>
        <w:ind w:left="1134" w:hanging="567"/>
        <w:jc w:val="both"/>
        <w:rPr>
          <w:rFonts w:ascii="Tahoma" w:hAnsi="Tahoma" w:cs="Tahoma"/>
          <w:sz w:val="22"/>
          <w:szCs w:val="22"/>
        </w:rPr>
      </w:pPr>
    </w:p>
    <w:p w:rsidR="002E78D8" w:rsidRDefault="002E78D8" w:rsidP="002E78D8">
      <w:pPr>
        <w:pStyle w:val="Prrafodelista"/>
        <w:widowControl w:val="0"/>
        <w:numPr>
          <w:ilvl w:val="0"/>
          <w:numId w:val="25"/>
        </w:numPr>
        <w:suppressAutoHyphens/>
        <w:ind w:left="1134" w:hanging="567"/>
        <w:jc w:val="both"/>
        <w:rPr>
          <w:rFonts w:ascii="Tahoma" w:hAnsi="Tahoma" w:cs="Tahoma"/>
          <w:sz w:val="22"/>
          <w:szCs w:val="22"/>
        </w:rPr>
      </w:pPr>
      <w:r>
        <w:rPr>
          <w:rFonts w:ascii="Tahoma" w:hAnsi="Tahoma" w:cs="Tahoma"/>
          <w:sz w:val="22"/>
          <w:szCs w:val="22"/>
        </w:rPr>
        <w:t>Tal como lo establecen las Bases, la primera entrega de soluciones y material médico debía realizarse como máximo dentro de los primeros cinco días calendarios, por lo tanto, a falta de regulación del plazo para entrega de las máquinas, se utilizó el plazo antes indicado como un referente razonable para determinar su plazo de entrega.</w:t>
      </w:r>
    </w:p>
    <w:p w:rsidR="002E78D8" w:rsidRDefault="002E78D8" w:rsidP="002E78D8">
      <w:pPr>
        <w:pStyle w:val="Prrafodelista"/>
        <w:ind w:left="567"/>
        <w:jc w:val="both"/>
        <w:rPr>
          <w:rFonts w:ascii="Tahoma" w:hAnsi="Tahoma" w:cs="Tahoma"/>
          <w:sz w:val="22"/>
          <w:szCs w:val="22"/>
        </w:rPr>
      </w:pPr>
    </w:p>
    <w:p w:rsidR="002E78D8" w:rsidRPr="00214B45" w:rsidRDefault="002E78D8" w:rsidP="002E78D8">
      <w:pPr>
        <w:pStyle w:val="Prrafodelista"/>
        <w:ind w:left="567"/>
        <w:jc w:val="both"/>
        <w:rPr>
          <w:rFonts w:ascii="Tahoma" w:hAnsi="Tahoma" w:cs="Tahoma"/>
          <w:b/>
          <w:sz w:val="22"/>
          <w:szCs w:val="22"/>
        </w:rPr>
      </w:pPr>
      <w:r w:rsidRPr="00214B45">
        <w:rPr>
          <w:rFonts w:ascii="Tahoma" w:hAnsi="Tahoma" w:cs="Tahoma"/>
          <w:b/>
          <w:sz w:val="22"/>
          <w:szCs w:val="22"/>
        </w:rPr>
        <w:t>SOBRE EL PERSONAL DE MANTENIMIENTO DEBIDAMENTE CAPACITADO</w:t>
      </w:r>
    </w:p>
    <w:p w:rsidR="002E78D8" w:rsidRDefault="002E78D8" w:rsidP="002E78D8">
      <w:pPr>
        <w:pStyle w:val="Prrafodelista"/>
        <w:ind w:left="567"/>
        <w:jc w:val="both"/>
        <w:rPr>
          <w:rFonts w:ascii="Tahoma" w:hAnsi="Tahoma" w:cs="Tahoma"/>
          <w:sz w:val="22"/>
          <w:szCs w:val="22"/>
        </w:rPr>
      </w:pPr>
    </w:p>
    <w:p w:rsidR="002E78D8" w:rsidRDefault="002E78D8" w:rsidP="002E78D8">
      <w:pPr>
        <w:pStyle w:val="Prrafodelista"/>
        <w:widowControl w:val="0"/>
        <w:numPr>
          <w:ilvl w:val="0"/>
          <w:numId w:val="26"/>
        </w:numPr>
        <w:suppressAutoHyphens/>
        <w:ind w:left="1134" w:hanging="567"/>
        <w:jc w:val="both"/>
        <w:rPr>
          <w:rFonts w:ascii="Tahoma" w:hAnsi="Tahoma" w:cs="Tahoma"/>
          <w:sz w:val="22"/>
          <w:szCs w:val="22"/>
        </w:rPr>
      </w:pPr>
      <w:r>
        <w:rPr>
          <w:rFonts w:ascii="Tahoma" w:hAnsi="Tahoma" w:cs="Tahoma"/>
          <w:sz w:val="22"/>
          <w:szCs w:val="22"/>
        </w:rPr>
        <w:t>Las Bases no establecieron como ni quien debe emitir la certificación del personal de mantenimiento, no obstante ello, la Adjudicataria cumplió con acreditar que cuenta con personal capacitado compuesto por un profesional y cuatro técnicos, como se indicó en el folio 492 de su propuesta técnica.</w:t>
      </w:r>
    </w:p>
    <w:p w:rsidR="002E78D8" w:rsidRDefault="002E78D8" w:rsidP="002E78D8">
      <w:pPr>
        <w:pStyle w:val="Prrafodelista"/>
        <w:ind w:left="1134" w:hanging="567"/>
        <w:jc w:val="both"/>
        <w:rPr>
          <w:rFonts w:ascii="Tahoma" w:hAnsi="Tahoma" w:cs="Tahoma"/>
          <w:sz w:val="22"/>
          <w:szCs w:val="22"/>
        </w:rPr>
      </w:pPr>
    </w:p>
    <w:p w:rsidR="002E78D8" w:rsidRDefault="002E78D8" w:rsidP="002E78D8">
      <w:pPr>
        <w:pStyle w:val="Prrafodelista"/>
        <w:widowControl w:val="0"/>
        <w:numPr>
          <w:ilvl w:val="0"/>
          <w:numId w:val="26"/>
        </w:numPr>
        <w:suppressAutoHyphens/>
        <w:ind w:left="1134" w:hanging="567"/>
        <w:jc w:val="both"/>
        <w:rPr>
          <w:rFonts w:ascii="Tahoma" w:hAnsi="Tahoma" w:cs="Tahoma"/>
          <w:sz w:val="22"/>
          <w:szCs w:val="22"/>
        </w:rPr>
      </w:pPr>
      <w:r>
        <w:rPr>
          <w:rFonts w:ascii="Tahoma" w:hAnsi="Tahoma" w:cs="Tahoma"/>
          <w:sz w:val="22"/>
          <w:szCs w:val="22"/>
        </w:rPr>
        <w:t>Sin perjuicio de ello, indicó que la Impugnante presentó como su personal de mantenimiento únicamente al señor Luis Corvacho, el mismo que no se acredita que sea idóneo y suficiente para las labores de mantenimiento, toda vez que su certificación se encuentra vencida, al ser válido hasta junio del 2010 y, además, no resulta verosímil que un solo ingeniero pueda brindar un servicio de mantenimiento permanente a todos los pacientes.</w:t>
      </w:r>
    </w:p>
    <w:p w:rsidR="002E78D8" w:rsidRDefault="002E78D8" w:rsidP="002E78D8">
      <w:pPr>
        <w:pStyle w:val="Prrafodelista"/>
        <w:ind w:left="567"/>
        <w:jc w:val="both"/>
        <w:rPr>
          <w:rFonts w:ascii="Tahoma" w:hAnsi="Tahoma" w:cs="Tahoma"/>
          <w:sz w:val="22"/>
          <w:szCs w:val="22"/>
        </w:rPr>
      </w:pPr>
    </w:p>
    <w:p w:rsidR="002E78D8" w:rsidRPr="00214B45" w:rsidRDefault="002E78D8" w:rsidP="002E78D8">
      <w:pPr>
        <w:pStyle w:val="Prrafodelista"/>
        <w:ind w:left="567"/>
        <w:jc w:val="both"/>
        <w:rPr>
          <w:rFonts w:ascii="Tahoma" w:hAnsi="Tahoma" w:cs="Tahoma"/>
          <w:b/>
          <w:sz w:val="22"/>
          <w:szCs w:val="22"/>
        </w:rPr>
      </w:pPr>
      <w:r w:rsidRPr="00214B45">
        <w:rPr>
          <w:rFonts w:ascii="Tahoma" w:hAnsi="Tahoma" w:cs="Tahoma"/>
          <w:b/>
          <w:sz w:val="22"/>
          <w:szCs w:val="22"/>
        </w:rPr>
        <w:t>SOBRE LA PRESENTACIÓN DE LA PÓLIZA DE SEGURO</w:t>
      </w:r>
    </w:p>
    <w:p w:rsidR="002E78D8" w:rsidRDefault="002E78D8" w:rsidP="002E78D8">
      <w:pPr>
        <w:pStyle w:val="Prrafodelista"/>
        <w:ind w:left="567"/>
        <w:jc w:val="both"/>
        <w:rPr>
          <w:rFonts w:ascii="Tahoma" w:hAnsi="Tahoma" w:cs="Tahoma"/>
          <w:sz w:val="22"/>
          <w:szCs w:val="22"/>
        </w:rPr>
      </w:pPr>
    </w:p>
    <w:p w:rsidR="002E78D8" w:rsidRDefault="002E78D8" w:rsidP="002E78D8">
      <w:pPr>
        <w:pStyle w:val="Prrafodelista"/>
        <w:widowControl w:val="0"/>
        <w:numPr>
          <w:ilvl w:val="0"/>
          <w:numId w:val="27"/>
        </w:numPr>
        <w:suppressAutoHyphens/>
        <w:ind w:left="1134" w:hanging="567"/>
        <w:jc w:val="both"/>
        <w:rPr>
          <w:rFonts w:ascii="Tahoma" w:hAnsi="Tahoma" w:cs="Tahoma"/>
          <w:sz w:val="22"/>
          <w:szCs w:val="22"/>
        </w:rPr>
      </w:pPr>
      <w:r>
        <w:rPr>
          <w:rFonts w:ascii="Tahoma" w:hAnsi="Tahoma" w:cs="Tahoma"/>
          <w:sz w:val="22"/>
          <w:szCs w:val="22"/>
        </w:rPr>
        <w:t xml:space="preserve">Las Bases Integradas señalan que </w:t>
      </w:r>
      <w:r w:rsidRPr="00214B45">
        <w:rPr>
          <w:rFonts w:ascii="Tahoma" w:hAnsi="Tahoma" w:cs="Tahoma"/>
          <w:i/>
          <w:sz w:val="22"/>
          <w:szCs w:val="22"/>
        </w:rPr>
        <w:t>“el proveedor debe presentar una póliza de seguros que ampare los equipos en cesión de uso dando cobertura contra robo, incendio, siniestro, responsabilidad civil contra terceros u otros”,</w:t>
      </w:r>
      <w:r>
        <w:rPr>
          <w:rFonts w:ascii="Tahoma" w:hAnsi="Tahoma" w:cs="Tahoma"/>
          <w:sz w:val="22"/>
          <w:szCs w:val="22"/>
        </w:rPr>
        <w:t xml:space="preserve"> es decir que lo que busca la Entidad es que cuando se entreguen las máquinas, estás estén debidamente aseguradas contra los riesgos antes señalados.</w:t>
      </w:r>
    </w:p>
    <w:p w:rsidR="002E78D8" w:rsidRDefault="002E78D8" w:rsidP="002E78D8">
      <w:pPr>
        <w:pStyle w:val="Prrafodelista"/>
        <w:ind w:left="1134" w:hanging="567"/>
        <w:jc w:val="both"/>
        <w:rPr>
          <w:rFonts w:ascii="Tahoma" w:hAnsi="Tahoma" w:cs="Tahoma"/>
          <w:sz w:val="22"/>
          <w:szCs w:val="22"/>
        </w:rPr>
      </w:pPr>
    </w:p>
    <w:p w:rsidR="002E78D8" w:rsidRDefault="002E78D8" w:rsidP="002E78D8">
      <w:pPr>
        <w:pStyle w:val="Prrafodelista"/>
        <w:widowControl w:val="0"/>
        <w:numPr>
          <w:ilvl w:val="0"/>
          <w:numId w:val="27"/>
        </w:numPr>
        <w:suppressAutoHyphens/>
        <w:ind w:left="1134" w:hanging="567"/>
        <w:jc w:val="both"/>
        <w:rPr>
          <w:rFonts w:ascii="Tahoma" w:hAnsi="Tahoma" w:cs="Tahoma"/>
          <w:sz w:val="22"/>
          <w:szCs w:val="22"/>
        </w:rPr>
      </w:pPr>
      <w:r>
        <w:rPr>
          <w:rFonts w:ascii="Tahoma" w:hAnsi="Tahoma" w:cs="Tahoma"/>
          <w:sz w:val="22"/>
          <w:szCs w:val="22"/>
        </w:rPr>
        <w:t xml:space="preserve">En tal sentido, cumplió con presentar una Carta de Compromiso de plazo de entrega de los equipos, el mismo que obra a folios 490 de su Propuesta Técnica, en la que se señaló que se </w:t>
      </w:r>
      <w:r w:rsidRPr="00214B45">
        <w:rPr>
          <w:rFonts w:ascii="Tahoma" w:hAnsi="Tahoma" w:cs="Tahoma"/>
          <w:i/>
          <w:sz w:val="22"/>
          <w:szCs w:val="22"/>
        </w:rPr>
        <w:t>“Presentará además una póliza de seguros que ampare los equipos en cesión de uso dando cobertura contra robo, incendio, siniestro y responsabilidad civil contra terceros y otros”,</w:t>
      </w:r>
      <w:r>
        <w:rPr>
          <w:rFonts w:ascii="Tahoma" w:hAnsi="Tahoma" w:cs="Tahoma"/>
          <w:sz w:val="22"/>
          <w:szCs w:val="22"/>
        </w:rPr>
        <w:t xml:space="preserve"> por lo que se confirmó que las máquinas que se le entregaran a la Entidad estarán debidamente aseguradas, tal y como lo requieren las Bases.</w:t>
      </w:r>
    </w:p>
    <w:p w:rsidR="002E78D8" w:rsidRDefault="002E78D8" w:rsidP="002E78D8">
      <w:pPr>
        <w:pStyle w:val="Prrafodelista"/>
        <w:ind w:left="1134" w:hanging="567"/>
        <w:jc w:val="both"/>
        <w:rPr>
          <w:rFonts w:ascii="Tahoma" w:hAnsi="Tahoma" w:cs="Tahoma"/>
          <w:sz w:val="22"/>
          <w:szCs w:val="22"/>
        </w:rPr>
      </w:pPr>
    </w:p>
    <w:p w:rsidR="002E78D8" w:rsidRDefault="002E78D8" w:rsidP="002E78D8">
      <w:pPr>
        <w:pStyle w:val="Prrafodelista"/>
        <w:widowControl w:val="0"/>
        <w:numPr>
          <w:ilvl w:val="0"/>
          <w:numId w:val="27"/>
        </w:numPr>
        <w:suppressAutoHyphens/>
        <w:ind w:left="1134" w:hanging="567"/>
        <w:jc w:val="both"/>
        <w:rPr>
          <w:rFonts w:ascii="Tahoma" w:hAnsi="Tahoma" w:cs="Tahoma"/>
          <w:sz w:val="22"/>
          <w:szCs w:val="22"/>
        </w:rPr>
      </w:pPr>
      <w:r>
        <w:rPr>
          <w:rFonts w:ascii="Tahoma" w:hAnsi="Tahoma" w:cs="Tahoma"/>
          <w:sz w:val="22"/>
          <w:szCs w:val="22"/>
        </w:rPr>
        <w:t xml:space="preserve">Asimismo, señaló que no presentó una Póliza de Seguros, toda vez que las empresas aseguradoras no otorgan cobertura a los equipos frente a los </w:t>
      </w:r>
      <w:r>
        <w:rPr>
          <w:rFonts w:ascii="Tahoma" w:hAnsi="Tahoma" w:cs="Tahoma"/>
          <w:sz w:val="22"/>
          <w:szCs w:val="22"/>
        </w:rPr>
        <w:lastRenderedPageBreak/>
        <w:t>riesgos mencionados en tanto no se encuentren en el territorio y no se brinde información detallada sobre la ubicación de los mismos, por lo tanto, teniendo en consideración que las máquinas ofertadas deben ser importadas y, además, no se tiene la ubicación exacta que tendrán dichas máquinas en el territorio nacional, es imposible que entregue una póliza antes del otorgamiento de la Buena Pro.</w:t>
      </w:r>
    </w:p>
    <w:p w:rsidR="002E78D8" w:rsidRDefault="002E78D8" w:rsidP="002E78D8">
      <w:pPr>
        <w:pStyle w:val="Prrafodelista"/>
        <w:ind w:left="1134" w:hanging="567"/>
        <w:jc w:val="both"/>
        <w:rPr>
          <w:rFonts w:ascii="Tahoma" w:hAnsi="Tahoma" w:cs="Tahoma"/>
          <w:sz w:val="22"/>
          <w:szCs w:val="22"/>
        </w:rPr>
      </w:pPr>
    </w:p>
    <w:p w:rsidR="002E78D8" w:rsidRDefault="002E78D8" w:rsidP="002E78D8">
      <w:pPr>
        <w:pStyle w:val="Prrafodelista"/>
        <w:widowControl w:val="0"/>
        <w:numPr>
          <w:ilvl w:val="0"/>
          <w:numId w:val="27"/>
        </w:numPr>
        <w:suppressAutoHyphens/>
        <w:ind w:left="1134" w:hanging="567"/>
        <w:jc w:val="both"/>
        <w:rPr>
          <w:rFonts w:ascii="Tahoma" w:hAnsi="Tahoma" w:cs="Tahoma"/>
          <w:sz w:val="22"/>
          <w:szCs w:val="22"/>
        </w:rPr>
      </w:pPr>
      <w:r>
        <w:rPr>
          <w:rFonts w:ascii="Tahoma" w:hAnsi="Tahoma" w:cs="Tahoma"/>
          <w:sz w:val="22"/>
          <w:szCs w:val="22"/>
        </w:rPr>
        <w:t>Ahora bien, agregó que la Impugnante estaba en una situación diferente, ya que al haber ganado anteriormente un proceso de selección en el año 2008, dicha empresa ya tenía equipos en el territorio nacional que pueden ser asegurados, en ese sentido, no se debería exigir un documento que no puede ser entregado, y que sólo podría ser entregado por la Impugnante, al encontrarse en una situación que lo favorece, vulnerando de esta manera el principio de Trato Justo e Igualitario previsto en el artículo 4 de la Ley de Contrataciones del Estado.</w:t>
      </w:r>
    </w:p>
    <w:p w:rsidR="002E78D8" w:rsidRDefault="002E78D8" w:rsidP="002E78D8">
      <w:pPr>
        <w:pStyle w:val="Prrafodelista"/>
        <w:ind w:left="567"/>
        <w:jc w:val="both"/>
        <w:rPr>
          <w:rFonts w:ascii="Tahoma" w:hAnsi="Tahoma" w:cs="Tahoma"/>
          <w:sz w:val="22"/>
          <w:szCs w:val="22"/>
        </w:rPr>
      </w:pPr>
    </w:p>
    <w:p w:rsidR="002E78D8" w:rsidRPr="00214B45" w:rsidRDefault="002E78D8" w:rsidP="002E78D8">
      <w:pPr>
        <w:pStyle w:val="Prrafodelista"/>
        <w:ind w:left="567"/>
        <w:jc w:val="both"/>
        <w:rPr>
          <w:rFonts w:ascii="Tahoma" w:hAnsi="Tahoma" w:cs="Tahoma"/>
          <w:b/>
          <w:sz w:val="22"/>
          <w:szCs w:val="22"/>
        </w:rPr>
      </w:pPr>
      <w:r w:rsidRPr="00214B45">
        <w:rPr>
          <w:rFonts w:ascii="Tahoma" w:hAnsi="Tahoma" w:cs="Tahoma"/>
          <w:b/>
          <w:sz w:val="22"/>
          <w:szCs w:val="22"/>
        </w:rPr>
        <w:t>RESPECTO A LA NULIDAD DEL ACTA DE OTORGAMIENTO DE LA BUENA PRO POR SU FALTA DE MOTIVACIÓN</w:t>
      </w:r>
    </w:p>
    <w:p w:rsidR="002E78D8" w:rsidRDefault="002E78D8" w:rsidP="002E78D8">
      <w:pPr>
        <w:pStyle w:val="Prrafodelista"/>
        <w:ind w:left="567"/>
        <w:jc w:val="both"/>
        <w:rPr>
          <w:rFonts w:ascii="Tahoma" w:hAnsi="Tahoma" w:cs="Tahoma"/>
          <w:sz w:val="22"/>
          <w:szCs w:val="22"/>
        </w:rPr>
      </w:pPr>
    </w:p>
    <w:p w:rsidR="002E78D8" w:rsidRDefault="002E78D8" w:rsidP="002E78D8">
      <w:pPr>
        <w:pStyle w:val="Prrafodelista"/>
        <w:widowControl w:val="0"/>
        <w:numPr>
          <w:ilvl w:val="0"/>
          <w:numId w:val="28"/>
        </w:numPr>
        <w:suppressAutoHyphens/>
        <w:ind w:left="1134" w:hanging="567"/>
        <w:jc w:val="both"/>
        <w:rPr>
          <w:rFonts w:ascii="Tahoma" w:hAnsi="Tahoma" w:cs="Tahoma"/>
          <w:sz w:val="22"/>
          <w:szCs w:val="22"/>
        </w:rPr>
      </w:pPr>
      <w:r>
        <w:rPr>
          <w:rFonts w:ascii="Tahoma" w:hAnsi="Tahoma" w:cs="Tahoma"/>
          <w:sz w:val="22"/>
          <w:szCs w:val="22"/>
        </w:rPr>
        <w:t>En aplicación del artículo 43 del Reglamento  y del numeral 1.4 de la Bases Integradas, el Comité Especial cumplió con informar a los postores de los resultados de su evaluación, preparando un cuadro comparativo en el que se indican los factores y el puntaje obtenido.</w:t>
      </w:r>
    </w:p>
    <w:p w:rsidR="002E78D8" w:rsidRDefault="002E78D8" w:rsidP="002E78D8">
      <w:pPr>
        <w:pStyle w:val="Prrafodelista"/>
        <w:ind w:left="1134" w:hanging="567"/>
        <w:jc w:val="both"/>
        <w:rPr>
          <w:rFonts w:ascii="Tahoma" w:hAnsi="Tahoma" w:cs="Tahoma"/>
          <w:sz w:val="22"/>
          <w:szCs w:val="22"/>
        </w:rPr>
      </w:pPr>
    </w:p>
    <w:p w:rsidR="002E78D8" w:rsidRDefault="002E78D8" w:rsidP="002E78D8">
      <w:pPr>
        <w:pStyle w:val="Prrafodelista"/>
        <w:widowControl w:val="0"/>
        <w:numPr>
          <w:ilvl w:val="0"/>
          <w:numId w:val="28"/>
        </w:numPr>
        <w:suppressAutoHyphens/>
        <w:ind w:left="1134" w:hanging="567"/>
        <w:jc w:val="both"/>
        <w:rPr>
          <w:rFonts w:ascii="Tahoma" w:hAnsi="Tahoma" w:cs="Tahoma"/>
          <w:sz w:val="22"/>
          <w:szCs w:val="22"/>
        </w:rPr>
      </w:pPr>
      <w:r>
        <w:rPr>
          <w:rFonts w:ascii="Tahoma" w:hAnsi="Tahoma" w:cs="Tahoma"/>
          <w:sz w:val="22"/>
          <w:szCs w:val="22"/>
        </w:rPr>
        <w:t>En efecto, en cuadro comparativo se indicó que el Impugnante ha obtenido 0.00 en la experiencia del postor y en el cumplimiento de la prestación, por lo tanto de una simple lectura de las Bases, el Impugnante podía conocer adecuadamente las razones por las que ha sido descalificado.</w:t>
      </w:r>
    </w:p>
    <w:p w:rsidR="002E78D8" w:rsidRDefault="002E78D8" w:rsidP="002E78D8">
      <w:pPr>
        <w:pStyle w:val="Prrafodelista"/>
        <w:ind w:left="1134" w:hanging="567"/>
        <w:jc w:val="both"/>
        <w:rPr>
          <w:rFonts w:ascii="Tahoma" w:hAnsi="Tahoma" w:cs="Tahoma"/>
          <w:sz w:val="22"/>
          <w:szCs w:val="22"/>
        </w:rPr>
      </w:pPr>
    </w:p>
    <w:p w:rsidR="002E78D8" w:rsidRDefault="002E78D8" w:rsidP="002E78D8">
      <w:pPr>
        <w:pStyle w:val="Prrafodelista"/>
        <w:widowControl w:val="0"/>
        <w:numPr>
          <w:ilvl w:val="0"/>
          <w:numId w:val="28"/>
        </w:numPr>
        <w:suppressAutoHyphens/>
        <w:ind w:left="1134" w:hanging="567"/>
        <w:jc w:val="both"/>
        <w:rPr>
          <w:rFonts w:ascii="Tahoma" w:hAnsi="Tahoma" w:cs="Tahoma"/>
          <w:sz w:val="22"/>
          <w:szCs w:val="22"/>
        </w:rPr>
      </w:pPr>
      <w:r>
        <w:rPr>
          <w:rFonts w:ascii="Tahoma" w:hAnsi="Tahoma" w:cs="Tahoma"/>
          <w:sz w:val="22"/>
          <w:szCs w:val="22"/>
        </w:rPr>
        <w:t>En tal sentido, el Acta fue debidamente motivada por lo que el Impugnante ha podido hacer pleno uso de su derecho a la defensa, y explicar las razones por las que considera que no debió haber sido descalificado, más aún, teniendo en consideración que el Impugnante sustenta su apelación específicamente en que, a su criterio, sí ha cumplido con acreditar la experiencia del postor y el cumplimiento de la prestación que son justamente los puntos indicados en el cuadro comparativo en los que no se le otorgó puntaje.</w:t>
      </w:r>
    </w:p>
    <w:p w:rsidR="002E78D8" w:rsidRDefault="002E78D8" w:rsidP="002E78D8">
      <w:pPr>
        <w:pStyle w:val="Prrafodelista"/>
        <w:ind w:left="567"/>
        <w:jc w:val="both"/>
        <w:rPr>
          <w:rFonts w:ascii="Tahoma" w:hAnsi="Tahoma" w:cs="Tahoma"/>
          <w:sz w:val="22"/>
          <w:szCs w:val="22"/>
        </w:rPr>
      </w:pPr>
    </w:p>
    <w:p w:rsidR="002E78D8" w:rsidRDefault="002E78D8" w:rsidP="002E78D8">
      <w:pPr>
        <w:numPr>
          <w:ilvl w:val="0"/>
          <w:numId w:val="3"/>
        </w:numPr>
        <w:tabs>
          <w:tab w:val="clear" w:pos="360"/>
          <w:tab w:val="num" w:pos="180"/>
        </w:tabs>
        <w:ind w:left="540" w:hanging="540"/>
        <w:jc w:val="both"/>
        <w:rPr>
          <w:rFonts w:ascii="Tahoma" w:hAnsi="Tahoma" w:cs="Tahoma"/>
          <w:sz w:val="22"/>
          <w:szCs w:val="22"/>
        </w:rPr>
      </w:pPr>
      <w:r>
        <w:rPr>
          <w:rFonts w:ascii="Tahoma" w:hAnsi="Tahoma" w:cs="Tahoma"/>
          <w:sz w:val="22"/>
          <w:szCs w:val="22"/>
        </w:rPr>
        <w:t>A través del escrito de fecha 07 de marzo del 2001, el Adjudicatario presentó un escrito en el cual señaló que la Entidad, a través de su Informe Técnico Legal, está atentando contra el Principio de Predictibilidad, consagrado en el artículo IV del Título Preliminar de la Ley del Procedimiento Administrativo General, al cambiar de opinión sin motivación alguna y contradecir la evaluación técnica realizada por el Comité Especial, cuestionando las conclusiones arribadas en dicho informe, bajo los siguiente argumentos:</w:t>
      </w:r>
    </w:p>
    <w:p w:rsidR="002E78D8" w:rsidRDefault="002E78D8" w:rsidP="002E78D8">
      <w:pPr>
        <w:jc w:val="both"/>
        <w:rPr>
          <w:rFonts w:ascii="Tahoma" w:hAnsi="Tahoma" w:cs="Tahoma"/>
          <w:sz w:val="22"/>
          <w:szCs w:val="22"/>
        </w:rPr>
      </w:pPr>
    </w:p>
    <w:p w:rsidR="002E78D8" w:rsidRDefault="002E78D8" w:rsidP="002E78D8">
      <w:pPr>
        <w:numPr>
          <w:ilvl w:val="0"/>
          <w:numId w:val="29"/>
        </w:numPr>
        <w:ind w:left="1134" w:hanging="567"/>
        <w:jc w:val="both"/>
        <w:rPr>
          <w:rFonts w:ascii="Tahoma" w:hAnsi="Tahoma" w:cs="Tahoma"/>
          <w:sz w:val="22"/>
          <w:szCs w:val="22"/>
        </w:rPr>
      </w:pPr>
      <w:r>
        <w:rPr>
          <w:rFonts w:ascii="Tahoma" w:hAnsi="Tahoma" w:cs="Tahoma"/>
          <w:sz w:val="22"/>
          <w:szCs w:val="22"/>
        </w:rPr>
        <w:t>Señaló que en aplicación del Acuerdo de Sala Plena N° 010/2008, el objetivo de las Bases, cuando exige que se acredite “Experiencia del Postor”, es obtener información que acredite la experiencia del Postor en el mercado de venta del bien objeto de la Licitación, es decir que lo que interesa es conocer la experiencia del postor en la venta de bienes a clientes finales, conocer que el Postor cumple con sus obligaciones asumidas frente a los clientes; conocer que dicho postor muestra un correcto desempeño en el mercado en la relación que establece con sus clientes finales.</w:t>
      </w:r>
    </w:p>
    <w:p w:rsidR="002E78D8" w:rsidRDefault="002E78D8" w:rsidP="002E78D8">
      <w:pPr>
        <w:ind w:left="1134" w:hanging="567"/>
        <w:jc w:val="both"/>
        <w:rPr>
          <w:rFonts w:ascii="Tahoma" w:hAnsi="Tahoma" w:cs="Tahoma"/>
          <w:sz w:val="22"/>
          <w:szCs w:val="22"/>
        </w:rPr>
      </w:pPr>
    </w:p>
    <w:p w:rsidR="002E78D8" w:rsidRDefault="002E78D8" w:rsidP="002E78D8">
      <w:pPr>
        <w:numPr>
          <w:ilvl w:val="0"/>
          <w:numId w:val="29"/>
        </w:numPr>
        <w:ind w:left="1134" w:hanging="567"/>
        <w:jc w:val="both"/>
        <w:rPr>
          <w:rFonts w:ascii="Tahoma" w:hAnsi="Tahoma" w:cs="Tahoma"/>
          <w:sz w:val="22"/>
          <w:szCs w:val="22"/>
        </w:rPr>
      </w:pPr>
      <w:r>
        <w:rPr>
          <w:rFonts w:ascii="Tahoma" w:hAnsi="Tahoma" w:cs="Tahoma"/>
          <w:sz w:val="22"/>
          <w:szCs w:val="22"/>
        </w:rPr>
        <w:t>Por lo tanto, el Impugnante al presentar el Contrato de Distribución únicamente prueba que tuvo un distribuidor que adquirió el producto, pero quien vende a clientes es el distribuidor (Hersil), el mismo que asume la responsabilidad por la venta, la responsabilidad por la relación con el cliente; en tal sentido, el Impugnante no asume absolutamente ninguna responsabilidad con el cliente final, pues simplemente no tiene relación con ellos; por lo que con el contrato de Distribución no se acredita que el Impugnante tenga experiencia en la venta directa a clientes, ni tampoco demuestra su capacidad para suministrar de manera continua, suficiente e idónea sistemas de diálisis a favor de Entidades Públicas, todo lo contrario, se acredita que la Impugnante prefirió no asumir el riesgo frente a clientes finales y optó por trasladar dicho riesgo a un distribuidor, es decir la empresa Hersil.</w:t>
      </w:r>
    </w:p>
    <w:p w:rsidR="002E78D8" w:rsidRDefault="002E78D8" w:rsidP="002E78D8">
      <w:pPr>
        <w:ind w:left="1134" w:hanging="567"/>
        <w:jc w:val="both"/>
        <w:rPr>
          <w:rFonts w:ascii="Tahoma" w:hAnsi="Tahoma" w:cs="Tahoma"/>
          <w:sz w:val="22"/>
          <w:szCs w:val="22"/>
        </w:rPr>
      </w:pPr>
    </w:p>
    <w:p w:rsidR="002E78D8" w:rsidRDefault="002E78D8" w:rsidP="002E78D8">
      <w:pPr>
        <w:numPr>
          <w:ilvl w:val="0"/>
          <w:numId w:val="29"/>
        </w:numPr>
        <w:ind w:left="1134" w:hanging="567"/>
        <w:jc w:val="both"/>
        <w:rPr>
          <w:rFonts w:ascii="Tahoma" w:hAnsi="Tahoma" w:cs="Tahoma"/>
          <w:sz w:val="22"/>
          <w:szCs w:val="22"/>
        </w:rPr>
      </w:pPr>
      <w:r>
        <w:rPr>
          <w:rFonts w:ascii="Tahoma" w:hAnsi="Tahoma" w:cs="Tahoma"/>
          <w:sz w:val="22"/>
          <w:szCs w:val="22"/>
        </w:rPr>
        <w:t>Asimismo, agregó que el Impugnante no ha presentado ningún documento que permita acreditar la venta de sistemas de diálisis a clientes (ni públicos ni privados) y mucho menos que éstos hayan estado satisfechos con el servicio, toda vez que solo ha presentado la constancia emitida por su propio distribuidor (HERSIL) respecto de los productos que le fueron entregados.</w:t>
      </w:r>
    </w:p>
    <w:p w:rsidR="002E78D8" w:rsidRPr="007E0F4C" w:rsidRDefault="002E78D8" w:rsidP="002E78D8">
      <w:pPr>
        <w:ind w:left="1134" w:hanging="567"/>
        <w:jc w:val="both"/>
        <w:rPr>
          <w:rFonts w:ascii="Tahoma" w:hAnsi="Tahoma" w:cs="Tahoma"/>
          <w:sz w:val="22"/>
          <w:szCs w:val="22"/>
        </w:rPr>
      </w:pPr>
    </w:p>
    <w:p w:rsidR="002E78D8" w:rsidRDefault="002E78D8" w:rsidP="002E78D8">
      <w:pPr>
        <w:pStyle w:val="Prrafodelista"/>
        <w:widowControl w:val="0"/>
        <w:numPr>
          <w:ilvl w:val="0"/>
          <w:numId w:val="29"/>
        </w:numPr>
        <w:suppressAutoHyphens/>
        <w:ind w:left="1134" w:hanging="567"/>
        <w:jc w:val="both"/>
        <w:rPr>
          <w:rFonts w:ascii="Tahoma" w:hAnsi="Tahoma" w:cs="Tahoma"/>
          <w:sz w:val="22"/>
          <w:szCs w:val="22"/>
        </w:rPr>
      </w:pPr>
      <w:r>
        <w:rPr>
          <w:rFonts w:ascii="Tahoma" w:hAnsi="Tahoma" w:cs="Tahoma"/>
          <w:sz w:val="22"/>
          <w:szCs w:val="22"/>
        </w:rPr>
        <w:t>Por otro lado, reiteró que tanto el producto Línea de Drenaje y Obturador cumplen con lo requerido por las Bases Administrativas, agregando que la condición de estéril del producto obturador se acredita debido a las propiedades desinfectantes de la yodopovidona y, además, del Protocolo de Análisis (folio 91) que indica que el valor límite de la prueba de “Calidad Microbiológica del Desinfectante” es de 0 CFU/ml (unidad formadora de colonias/ml).</w:t>
      </w:r>
    </w:p>
    <w:p w:rsidR="002E78D8" w:rsidRDefault="002E78D8" w:rsidP="002E78D8">
      <w:pPr>
        <w:pStyle w:val="Prrafodelista"/>
        <w:ind w:left="1134" w:hanging="567"/>
        <w:jc w:val="both"/>
        <w:rPr>
          <w:rFonts w:ascii="Tahoma" w:hAnsi="Tahoma" w:cs="Tahoma"/>
          <w:sz w:val="22"/>
          <w:szCs w:val="22"/>
        </w:rPr>
      </w:pPr>
    </w:p>
    <w:p w:rsidR="002E78D8" w:rsidRDefault="002E78D8" w:rsidP="002E78D8">
      <w:pPr>
        <w:pStyle w:val="Prrafodelista"/>
        <w:widowControl w:val="0"/>
        <w:numPr>
          <w:ilvl w:val="0"/>
          <w:numId w:val="29"/>
        </w:numPr>
        <w:suppressAutoHyphens/>
        <w:ind w:left="1134" w:hanging="567"/>
        <w:jc w:val="both"/>
        <w:rPr>
          <w:rFonts w:ascii="Tahoma" w:hAnsi="Tahoma" w:cs="Tahoma"/>
          <w:sz w:val="22"/>
          <w:szCs w:val="22"/>
        </w:rPr>
      </w:pPr>
      <w:r>
        <w:rPr>
          <w:rFonts w:ascii="Tahoma" w:hAnsi="Tahoma" w:cs="Tahoma"/>
          <w:sz w:val="22"/>
          <w:szCs w:val="22"/>
        </w:rPr>
        <w:t xml:space="preserve">Así también, otra prueba de la condición de esterilidad del Obturador, es que el producto ha ganado varias licitaciones y, actualmente, está siendo usado por ESSALUD en los pacientes que utilizan su sistema, y ello se entienda perfectamente si se conoce el procedimiento de recambio con el sistema Andy.Disc, toda vez que el tapón desinfectante stay.safe se utiliza </w:t>
      </w:r>
      <w:r>
        <w:rPr>
          <w:rFonts w:ascii="Tahoma" w:hAnsi="Tahoma" w:cs="Tahoma"/>
          <w:sz w:val="22"/>
          <w:szCs w:val="22"/>
        </w:rPr>
        <w:lastRenderedPageBreak/>
        <w:t>para obturar el prolongador, y lo único que se pone en contacto es el tapón con la solución desinfectante de yodopovidona, por lo que es necesario que ese tapón si cumpla con las condiciones de esterilidad, mas no el resto del producto,</w:t>
      </w:r>
    </w:p>
    <w:p w:rsidR="002E78D8" w:rsidRDefault="002E78D8" w:rsidP="002E78D8">
      <w:pPr>
        <w:pStyle w:val="Prrafodelista"/>
        <w:ind w:left="567"/>
        <w:jc w:val="both"/>
        <w:rPr>
          <w:rFonts w:ascii="Tahoma" w:hAnsi="Tahoma" w:cs="Tahoma"/>
          <w:sz w:val="22"/>
          <w:szCs w:val="22"/>
        </w:rPr>
      </w:pPr>
    </w:p>
    <w:p w:rsidR="002E78D8" w:rsidRDefault="002E78D8" w:rsidP="002E78D8">
      <w:pPr>
        <w:numPr>
          <w:ilvl w:val="0"/>
          <w:numId w:val="3"/>
        </w:numPr>
        <w:tabs>
          <w:tab w:val="clear" w:pos="360"/>
          <w:tab w:val="num" w:pos="540"/>
          <w:tab w:val="num" w:pos="567"/>
        </w:tabs>
        <w:ind w:left="540" w:hanging="540"/>
        <w:jc w:val="both"/>
        <w:rPr>
          <w:rFonts w:ascii="Tahoma" w:hAnsi="Tahoma" w:cs="Tahoma"/>
          <w:sz w:val="22"/>
          <w:szCs w:val="22"/>
        </w:rPr>
      </w:pPr>
      <w:r w:rsidRPr="007E0F4C">
        <w:rPr>
          <w:rFonts w:ascii="Tahoma" w:hAnsi="Tahoma" w:cs="Tahoma"/>
          <w:sz w:val="22"/>
          <w:szCs w:val="22"/>
        </w:rPr>
        <w:t xml:space="preserve">Con decreto de fecha </w:t>
      </w:r>
      <w:r>
        <w:rPr>
          <w:rFonts w:ascii="Tahoma" w:hAnsi="Tahoma" w:cs="Tahoma"/>
          <w:sz w:val="22"/>
          <w:szCs w:val="22"/>
        </w:rPr>
        <w:t>01 de marzo de 2011</w:t>
      </w:r>
      <w:r w:rsidRPr="007E0F4C">
        <w:rPr>
          <w:rFonts w:ascii="Tahoma" w:hAnsi="Tahoma" w:cs="Tahoma"/>
          <w:sz w:val="22"/>
          <w:szCs w:val="22"/>
        </w:rPr>
        <w:t xml:space="preserve">, se programó a Audiencia Pública para el </w:t>
      </w:r>
      <w:r>
        <w:rPr>
          <w:rFonts w:ascii="Tahoma" w:hAnsi="Tahoma" w:cs="Tahoma"/>
          <w:sz w:val="22"/>
          <w:szCs w:val="22"/>
        </w:rPr>
        <w:t>15 de marzo de 2011</w:t>
      </w:r>
      <w:r w:rsidRPr="007E0F4C">
        <w:rPr>
          <w:rFonts w:ascii="Tahoma" w:hAnsi="Tahoma" w:cs="Tahoma"/>
          <w:sz w:val="22"/>
          <w:szCs w:val="22"/>
        </w:rPr>
        <w:t>.</w:t>
      </w:r>
    </w:p>
    <w:p w:rsidR="002E78D8" w:rsidRDefault="002E78D8" w:rsidP="002E78D8">
      <w:pPr>
        <w:tabs>
          <w:tab w:val="num" w:pos="567"/>
        </w:tabs>
        <w:ind w:left="540"/>
        <w:jc w:val="both"/>
        <w:rPr>
          <w:rFonts w:ascii="Tahoma" w:hAnsi="Tahoma" w:cs="Tahoma"/>
          <w:sz w:val="22"/>
          <w:szCs w:val="22"/>
        </w:rPr>
      </w:pPr>
    </w:p>
    <w:p w:rsidR="002E78D8" w:rsidRDefault="002E78D8" w:rsidP="002E78D8">
      <w:pPr>
        <w:numPr>
          <w:ilvl w:val="0"/>
          <w:numId w:val="3"/>
        </w:numPr>
        <w:tabs>
          <w:tab w:val="clear" w:pos="360"/>
          <w:tab w:val="num" w:pos="540"/>
          <w:tab w:val="num" w:pos="567"/>
        </w:tabs>
        <w:ind w:left="540" w:hanging="540"/>
        <w:jc w:val="both"/>
        <w:rPr>
          <w:rFonts w:ascii="Tahoma" w:hAnsi="Tahoma" w:cs="Tahoma"/>
          <w:sz w:val="22"/>
          <w:szCs w:val="22"/>
        </w:rPr>
      </w:pPr>
      <w:r>
        <w:rPr>
          <w:rFonts w:ascii="Tahoma" w:hAnsi="Tahoma" w:cs="Tahoma"/>
          <w:sz w:val="22"/>
          <w:szCs w:val="22"/>
        </w:rPr>
        <w:t>El 15 de marzo del 2011, se llevó a cabo la Audiencia Pública, con la participación de la Entidad, el Adjudicatario y el Impugnante.</w:t>
      </w:r>
    </w:p>
    <w:p w:rsidR="002E78D8" w:rsidRDefault="002E78D8" w:rsidP="002E78D8">
      <w:pPr>
        <w:tabs>
          <w:tab w:val="num" w:pos="567"/>
        </w:tabs>
        <w:ind w:left="540"/>
        <w:jc w:val="both"/>
        <w:rPr>
          <w:rFonts w:ascii="Tahoma" w:hAnsi="Tahoma" w:cs="Tahoma"/>
          <w:sz w:val="22"/>
          <w:szCs w:val="22"/>
          <w:lang w:val="es-ES_tradnl"/>
        </w:rPr>
      </w:pPr>
    </w:p>
    <w:p w:rsidR="002E78D8" w:rsidRDefault="002E78D8" w:rsidP="002E78D8">
      <w:pPr>
        <w:numPr>
          <w:ilvl w:val="0"/>
          <w:numId w:val="3"/>
        </w:numPr>
        <w:tabs>
          <w:tab w:val="clear" w:pos="360"/>
          <w:tab w:val="num" w:pos="540"/>
          <w:tab w:val="num" w:pos="567"/>
        </w:tabs>
        <w:ind w:left="540" w:hanging="540"/>
        <w:jc w:val="both"/>
        <w:rPr>
          <w:rFonts w:ascii="Tahoma" w:hAnsi="Tahoma" w:cs="Tahoma"/>
          <w:sz w:val="22"/>
          <w:szCs w:val="22"/>
        </w:rPr>
      </w:pPr>
      <w:r>
        <w:rPr>
          <w:rFonts w:ascii="Tahoma" w:hAnsi="Tahoma" w:cs="Tahoma"/>
          <w:sz w:val="22"/>
          <w:szCs w:val="22"/>
        </w:rPr>
        <w:t>Mediante decreto de fecha 16 de marzo del 2011, se solicitó información adicional a la Entidad, bajo el siguiente detalle:</w:t>
      </w:r>
    </w:p>
    <w:p w:rsidR="002E78D8" w:rsidRDefault="002E78D8" w:rsidP="002E78D8">
      <w:pPr>
        <w:tabs>
          <w:tab w:val="num" w:pos="567"/>
        </w:tabs>
        <w:ind w:left="540"/>
        <w:jc w:val="both"/>
        <w:rPr>
          <w:rFonts w:ascii="Tahoma" w:hAnsi="Tahoma" w:cs="Tahoma"/>
          <w:sz w:val="22"/>
          <w:szCs w:val="22"/>
          <w:lang w:val="es-ES_tradnl"/>
        </w:rPr>
      </w:pPr>
    </w:p>
    <w:p w:rsidR="002E78D8" w:rsidRPr="002D74FB" w:rsidRDefault="002E78D8" w:rsidP="002E78D8">
      <w:pPr>
        <w:numPr>
          <w:ilvl w:val="0"/>
          <w:numId w:val="31"/>
        </w:numPr>
        <w:ind w:left="1418" w:right="425" w:hanging="425"/>
        <w:contextualSpacing/>
        <w:jc w:val="both"/>
        <w:rPr>
          <w:rFonts w:ascii="Tahoma" w:hAnsi="Tahoma" w:cs="Tahoma"/>
          <w:i/>
          <w:color w:val="000000"/>
          <w:sz w:val="18"/>
          <w:szCs w:val="18"/>
        </w:rPr>
      </w:pPr>
      <w:r w:rsidRPr="002D74FB">
        <w:rPr>
          <w:rFonts w:ascii="Tahoma" w:hAnsi="Tahoma" w:cs="Tahoma"/>
          <w:bCs/>
          <w:i/>
          <w:color w:val="000000"/>
          <w:sz w:val="18"/>
          <w:szCs w:val="18"/>
        </w:rPr>
        <w:t xml:space="preserve">Sírvase informar si la propuesta técnica presentada por </w:t>
      </w:r>
      <w:r w:rsidRPr="002D74FB">
        <w:rPr>
          <w:rFonts w:ascii="Tahoma" w:hAnsi="Tahoma" w:cs="Tahoma"/>
          <w:i/>
          <w:color w:val="000000"/>
          <w:sz w:val="18"/>
          <w:szCs w:val="18"/>
        </w:rPr>
        <w:t xml:space="preserve">LABORATORIOS BAXTER DEL PERU S.A., acredita la condición de estéril del componente </w:t>
      </w:r>
      <w:r w:rsidRPr="002D74FB">
        <w:rPr>
          <w:rFonts w:ascii="Tahoma" w:hAnsi="Tahoma" w:cs="Tahoma"/>
          <w:bCs/>
          <w:i/>
          <w:color w:val="000000"/>
          <w:sz w:val="18"/>
          <w:szCs w:val="18"/>
        </w:rPr>
        <w:t>“OBTURADOR”</w:t>
      </w:r>
      <w:r w:rsidRPr="002D74FB">
        <w:rPr>
          <w:rFonts w:ascii="Tahoma" w:hAnsi="Tahoma" w:cs="Tahoma"/>
          <w:i/>
          <w:color w:val="000000"/>
          <w:sz w:val="18"/>
          <w:szCs w:val="18"/>
        </w:rPr>
        <w:t>, considerando que a fojas 031 de su propuesta técnica presentó la Declaración Jurada de Presentación del Producto y de Compromiso de Plazo de Entrega, que se adjunta al presente, en el cual señaló que el método de esterilidad se demuestra en la Carta del Fabricante que obra a fojas 103 de su propuesta técnica, el mismo que se adjunta, en el cual se indicó que dicho componente no requiere de esterilización por cuanto contiene un potente y efectivo desinfectante basado en yodopolividona.</w:t>
      </w:r>
    </w:p>
    <w:p w:rsidR="002E78D8" w:rsidRPr="002D74FB" w:rsidRDefault="002E78D8" w:rsidP="002E78D8">
      <w:pPr>
        <w:ind w:left="1418" w:right="425" w:hanging="425"/>
        <w:jc w:val="both"/>
        <w:rPr>
          <w:rFonts w:ascii="Tahoma" w:hAnsi="Tahoma" w:cs="Tahoma"/>
          <w:i/>
          <w:color w:val="000000"/>
          <w:sz w:val="18"/>
          <w:szCs w:val="18"/>
        </w:rPr>
      </w:pPr>
    </w:p>
    <w:p w:rsidR="002E78D8" w:rsidRPr="002D74FB" w:rsidRDefault="002E78D8" w:rsidP="002E78D8">
      <w:pPr>
        <w:numPr>
          <w:ilvl w:val="0"/>
          <w:numId w:val="31"/>
        </w:numPr>
        <w:ind w:left="1418" w:right="425" w:hanging="425"/>
        <w:contextualSpacing/>
        <w:jc w:val="both"/>
        <w:rPr>
          <w:rFonts w:ascii="Tahoma" w:hAnsi="Tahoma" w:cs="Tahoma"/>
          <w:i/>
          <w:color w:val="000000"/>
          <w:sz w:val="18"/>
          <w:szCs w:val="18"/>
        </w:rPr>
      </w:pPr>
      <w:r w:rsidRPr="002D74FB">
        <w:rPr>
          <w:rFonts w:ascii="Tahoma" w:hAnsi="Tahoma" w:cs="Tahoma"/>
          <w:i/>
          <w:color w:val="000000"/>
          <w:sz w:val="18"/>
          <w:szCs w:val="18"/>
        </w:rPr>
        <w:t>Sírvase pronunciarse sobre lo señalado por la empresa FRESENIUS MEDICAL CARE DEL PERU S.A., respecto a que no era necesario esterilizar todo el componente “OBTURADOR” que ofertó, toda vez que el tapón desinfectante stay.safe se utiliza para obturador el prolongador y lo único que se pone en contacto es el tapón con la solución desinfectante de yodopolividona.</w:t>
      </w:r>
    </w:p>
    <w:p w:rsidR="002E78D8" w:rsidRPr="002D74FB" w:rsidRDefault="002E78D8" w:rsidP="002E78D8">
      <w:pPr>
        <w:ind w:left="1418" w:right="425" w:hanging="425"/>
        <w:jc w:val="both"/>
        <w:rPr>
          <w:rFonts w:ascii="Tahoma" w:hAnsi="Tahoma" w:cs="Tahoma"/>
          <w:i/>
          <w:color w:val="000000"/>
          <w:sz w:val="18"/>
          <w:szCs w:val="18"/>
        </w:rPr>
      </w:pPr>
    </w:p>
    <w:p w:rsidR="002E78D8" w:rsidRPr="008E7E67" w:rsidRDefault="002E78D8" w:rsidP="002E78D8">
      <w:pPr>
        <w:numPr>
          <w:ilvl w:val="0"/>
          <w:numId w:val="31"/>
        </w:numPr>
        <w:ind w:left="1418" w:right="425" w:hanging="425"/>
        <w:contextualSpacing/>
        <w:jc w:val="both"/>
        <w:rPr>
          <w:rFonts w:ascii="Tahoma" w:hAnsi="Tahoma" w:cs="Tahoma"/>
          <w:i/>
          <w:color w:val="000000"/>
          <w:sz w:val="18"/>
          <w:szCs w:val="18"/>
        </w:rPr>
      </w:pPr>
      <w:r w:rsidRPr="002D74FB">
        <w:rPr>
          <w:rFonts w:ascii="Tahoma" w:hAnsi="Tahoma" w:cs="Tahoma"/>
          <w:i/>
          <w:color w:val="000000"/>
          <w:sz w:val="18"/>
          <w:szCs w:val="18"/>
        </w:rPr>
        <w:t xml:space="preserve">Sírvase informar si a través del desinfectante yodopolividona, se puede lograr la esterilidad del componente </w:t>
      </w:r>
      <w:r w:rsidRPr="002D74FB">
        <w:rPr>
          <w:rFonts w:ascii="Tahoma" w:hAnsi="Tahoma" w:cs="Tahoma"/>
          <w:bCs/>
          <w:i/>
          <w:color w:val="000000"/>
          <w:sz w:val="18"/>
          <w:szCs w:val="18"/>
        </w:rPr>
        <w:t>“OBTURADOR”</w:t>
      </w:r>
      <w:r w:rsidRPr="002D74FB">
        <w:rPr>
          <w:rFonts w:ascii="Tahoma" w:hAnsi="Tahoma" w:cs="Tahoma"/>
          <w:i/>
          <w:color w:val="000000"/>
          <w:sz w:val="18"/>
          <w:szCs w:val="18"/>
        </w:rPr>
        <w:t>, debiendo sustentar, de ser el caso, las razones por las cuales dicho desinfectante no lograría la condición antes señalada.</w:t>
      </w:r>
    </w:p>
    <w:p w:rsidR="002E78D8" w:rsidRDefault="002E78D8" w:rsidP="002E78D8">
      <w:pPr>
        <w:tabs>
          <w:tab w:val="num" w:pos="567"/>
        </w:tabs>
        <w:ind w:left="540"/>
        <w:jc w:val="both"/>
        <w:rPr>
          <w:rFonts w:ascii="Tahoma" w:hAnsi="Tahoma" w:cs="Tahoma"/>
          <w:sz w:val="22"/>
          <w:szCs w:val="22"/>
        </w:rPr>
      </w:pPr>
    </w:p>
    <w:p w:rsidR="002E78D8" w:rsidRDefault="002E78D8" w:rsidP="002E78D8">
      <w:pPr>
        <w:numPr>
          <w:ilvl w:val="0"/>
          <w:numId w:val="3"/>
        </w:numPr>
        <w:tabs>
          <w:tab w:val="clear" w:pos="360"/>
          <w:tab w:val="num" w:pos="540"/>
          <w:tab w:val="num" w:pos="567"/>
        </w:tabs>
        <w:ind w:left="540" w:hanging="540"/>
        <w:jc w:val="both"/>
        <w:rPr>
          <w:rFonts w:ascii="Tahoma" w:hAnsi="Tahoma" w:cs="Tahoma"/>
          <w:sz w:val="22"/>
          <w:szCs w:val="22"/>
        </w:rPr>
      </w:pPr>
      <w:r>
        <w:rPr>
          <w:rFonts w:ascii="Tahoma" w:hAnsi="Tahoma" w:cs="Tahoma"/>
          <w:sz w:val="22"/>
          <w:szCs w:val="22"/>
        </w:rPr>
        <w:t>A través del escrito presentado el 17 de marzo del 2011, el Adjudicatario señaló lo siguiente:</w:t>
      </w:r>
    </w:p>
    <w:p w:rsidR="002E78D8" w:rsidRDefault="002E78D8" w:rsidP="002E78D8">
      <w:pPr>
        <w:pStyle w:val="Prrafodelista"/>
        <w:ind w:left="0"/>
        <w:rPr>
          <w:rFonts w:ascii="Tahoma" w:hAnsi="Tahoma" w:cs="Tahoma"/>
          <w:sz w:val="22"/>
          <w:szCs w:val="22"/>
        </w:rPr>
      </w:pPr>
    </w:p>
    <w:p w:rsidR="002E78D8" w:rsidRDefault="002E78D8" w:rsidP="002E78D8">
      <w:pPr>
        <w:numPr>
          <w:ilvl w:val="0"/>
          <w:numId w:val="30"/>
        </w:numPr>
        <w:ind w:left="1134" w:hanging="567"/>
        <w:jc w:val="both"/>
        <w:rPr>
          <w:rFonts w:ascii="Tahoma" w:hAnsi="Tahoma" w:cs="Tahoma"/>
          <w:sz w:val="22"/>
          <w:szCs w:val="22"/>
          <w:lang w:val="es-ES_tradnl"/>
        </w:rPr>
      </w:pPr>
      <w:r>
        <w:rPr>
          <w:rFonts w:ascii="Tahoma" w:hAnsi="Tahoma" w:cs="Tahoma"/>
          <w:sz w:val="22"/>
          <w:szCs w:val="22"/>
          <w:lang w:val="es-ES_tradnl"/>
        </w:rPr>
        <w:t>En la Carta del Fabricante, obrante a fojas 92 de su propuesta técnica, se indicó de modo expreso que el obturador tiene carácter ESTÉRIL debido que dicho producto contiene un poderoso desinfectante llamado yodopovidona, el mismo que tiene propiedades bactericidas, fungicidas, tuberculocidas, protozoaricidas y virucidas y esporicidas.</w:t>
      </w:r>
    </w:p>
    <w:p w:rsidR="002E78D8" w:rsidRDefault="002E78D8" w:rsidP="002E78D8">
      <w:pPr>
        <w:tabs>
          <w:tab w:val="num" w:pos="567"/>
        </w:tabs>
        <w:ind w:left="1134" w:hanging="567"/>
        <w:jc w:val="both"/>
        <w:rPr>
          <w:rFonts w:ascii="Tahoma" w:hAnsi="Tahoma" w:cs="Tahoma"/>
          <w:sz w:val="22"/>
          <w:szCs w:val="22"/>
          <w:lang w:val="es-ES_tradnl"/>
        </w:rPr>
      </w:pPr>
    </w:p>
    <w:p w:rsidR="002E78D8" w:rsidRDefault="002E78D8" w:rsidP="002E78D8">
      <w:pPr>
        <w:numPr>
          <w:ilvl w:val="0"/>
          <w:numId w:val="30"/>
        </w:numPr>
        <w:ind w:left="1134" w:hanging="567"/>
        <w:jc w:val="both"/>
        <w:rPr>
          <w:rFonts w:ascii="Tahoma" w:hAnsi="Tahoma" w:cs="Tahoma"/>
          <w:sz w:val="22"/>
          <w:szCs w:val="22"/>
          <w:lang w:val="es-ES_tradnl"/>
        </w:rPr>
      </w:pPr>
      <w:r>
        <w:rPr>
          <w:rFonts w:ascii="Tahoma" w:hAnsi="Tahoma" w:cs="Tahoma"/>
          <w:sz w:val="22"/>
          <w:szCs w:val="22"/>
          <w:lang w:val="es-ES_tradnl"/>
        </w:rPr>
        <w:t>Además, señaló que la condición de estéril de dicho producto también está acreditada con el Certificado de Análisis, que se adjuntó a fojas 89 de su Propuesta Técnica, al indicarse que el obturador presenta “0 CFU/ml” (unidad formadora de colonias/ml), es decir que tiene la condición de estéril y que se encuentra libre de cualquier tipo de contaminación.</w:t>
      </w:r>
    </w:p>
    <w:p w:rsidR="002E78D8" w:rsidRDefault="002E78D8" w:rsidP="002E78D8">
      <w:pPr>
        <w:tabs>
          <w:tab w:val="num" w:pos="567"/>
        </w:tabs>
        <w:ind w:left="1134" w:hanging="567"/>
        <w:jc w:val="both"/>
        <w:rPr>
          <w:rFonts w:ascii="Tahoma" w:hAnsi="Tahoma" w:cs="Tahoma"/>
          <w:sz w:val="22"/>
          <w:szCs w:val="22"/>
          <w:lang w:val="es-ES_tradnl"/>
        </w:rPr>
      </w:pPr>
    </w:p>
    <w:p w:rsidR="002E78D8" w:rsidRDefault="002E78D8" w:rsidP="002E78D8">
      <w:pPr>
        <w:numPr>
          <w:ilvl w:val="0"/>
          <w:numId w:val="30"/>
        </w:numPr>
        <w:ind w:left="1134" w:hanging="567"/>
        <w:jc w:val="both"/>
        <w:rPr>
          <w:rFonts w:ascii="Tahoma" w:hAnsi="Tahoma" w:cs="Tahoma"/>
          <w:sz w:val="22"/>
          <w:szCs w:val="22"/>
          <w:lang w:val="es-ES_tradnl"/>
        </w:rPr>
      </w:pPr>
      <w:r>
        <w:rPr>
          <w:rFonts w:ascii="Tahoma" w:hAnsi="Tahoma" w:cs="Tahoma"/>
          <w:sz w:val="22"/>
          <w:szCs w:val="22"/>
          <w:lang w:val="es-ES_tradnl"/>
        </w:rPr>
        <w:lastRenderedPageBreak/>
        <w:t>Asimismo, volvió a reiterar que la imprecisión de su propuesta técnica, cuando se indicó que el obturador fue esterilizado con el método de óxido de etileno, no puede afectar su calificación, toda vez que las Bases no han exigido un método específico para asegurar la esterilidad del producto, por lo tanto, no es relevante si el producto es estéril por el “óxido de etileno” (que no aplica al producto) o por las características del producto contenido en la tapa desinfectante (yodopovidona), toda vez que lo relevante es que el producto sea estéril, tal como ha sido acreditado a través de la Carta del Fabricante y por el Certificado de Análisis.</w:t>
      </w:r>
    </w:p>
    <w:p w:rsidR="002E78D8" w:rsidRDefault="002E78D8" w:rsidP="002E78D8">
      <w:pPr>
        <w:tabs>
          <w:tab w:val="num" w:pos="567"/>
        </w:tabs>
        <w:ind w:left="1134" w:hanging="567"/>
        <w:jc w:val="both"/>
        <w:rPr>
          <w:rFonts w:ascii="Tahoma" w:hAnsi="Tahoma" w:cs="Tahoma"/>
          <w:sz w:val="22"/>
          <w:szCs w:val="22"/>
          <w:lang w:val="es-ES_tradnl"/>
        </w:rPr>
      </w:pPr>
    </w:p>
    <w:p w:rsidR="002E78D8" w:rsidRDefault="002E78D8" w:rsidP="002E78D8">
      <w:pPr>
        <w:numPr>
          <w:ilvl w:val="0"/>
          <w:numId w:val="30"/>
        </w:numPr>
        <w:ind w:left="1134" w:hanging="567"/>
        <w:jc w:val="both"/>
        <w:rPr>
          <w:rFonts w:ascii="Tahoma" w:hAnsi="Tahoma" w:cs="Tahoma"/>
          <w:sz w:val="22"/>
          <w:szCs w:val="22"/>
          <w:lang w:val="es-ES_tradnl"/>
        </w:rPr>
      </w:pPr>
      <w:r>
        <w:rPr>
          <w:rFonts w:ascii="Tahoma" w:hAnsi="Tahoma" w:cs="Tahoma"/>
          <w:sz w:val="22"/>
          <w:szCs w:val="22"/>
          <w:lang w:val="es-ES_tradnl"/>
        </w:rPr>
        <w:t>Por otro lado, señaló que el Impugnante también fundamenta el carácter estéril del obturador alegando que el mismo contiene un potente y efectivo desinfectante, es decir la yodopovidona, por lo tanto, no es entendible que la Impugnante cuestione su producto, cuando ambas utilizan la yodopovidona para que el obturador tenga carácter estéril.</w:t>
      </w:r>
    </w:p>
    <w:p w:rsidR="002E78D8" w:rsidRDefault="002E78D8" w:rsidP="002E78D8">
      <w:pPr>
        <w:tabs>
          <w:tab w:val="num" w:pos="567"/>
        </w:tabs>
        <w:ind w:left="1134" w:hanging="567"/>
        <w:jc w:val="both"/>
        <w:rPr>
          <w:rFonts w:ascii="Tahoma" w:hAnsi="Tahoma" w:cs="Tahoma"/>
          <w:sz w:val="22"/>
          <w:szCs w:val="22"/>
          <w:lang w:val="es-ES_tradnl"/>
        </w:rPr>
      </w:pPr>
    </w:p>
    <w:p w:rsidR="002E78D8" w:rsidRDefault="002E78D8" w:rsidP="002E78D8">
      <w:pPr>
        <w:numPr>
          <w:ilvl w:val="0"/>
          <w:numId w:val="30"/>
        </w:numPr>
        <w:ind w:left="1134" w:hanging="567"/>
        <w:jc w:val="both"/>
        <w:rPr>
          <w:rFonts w:ascii="Tahoma" w:hAnsi="Tahoma" w:cs="Tahoma"/>
          <w:sz w:val="22"/>
          <w:szCs w:val="22"/>
          <w:lang w:val="es-ES_tradnl"/>
        </w:rPr>
      </w:pPr>
      <w:r>
        <w:rPr>
          <w:rFonts w:ascii="Tahoma" w:hAnsi="Tahoma" w:cs="Tahoma"/>
          <w:sz w:val="22"/>
          <w:szCs w:val="22"/>
          <w:lang w:val="es-ES_tradnl"/>
        </w:rPr>
        <w:t>No obstante ello, agregó que el Impugnante no ha cumplido con acreditar la esterilidad de su producto, al no presentar ningún certificado de análisis o similar que acredite la esterilidad del lote (SE10FN7) que está ofertando, toda vez que la documentación presentada por la Impugnante. Obrante a fojas 103 de su propuesta, no es más que una mera declaración general que no acredita la esterilidad del producto, ya que ni siquiera se indicó el lote al que está referido.</w:t>
      </w:r>
    </w:p>
    <w:p w:rsidR="002E78D8" w:rsidRDefault="002E78D8" w:rsidP="002E78D8">
      <w:pPr>
        <w:tabs>
          <w:tab w:val="num" w:pos="567"/>
        </w:tabs>
        <w:ind w:left="1134" w:hanging="567"/>
        <w:jc w:val="both"/>
        <w:rPr>
          <w:rFonts w:ascii="Tahoma" w:hAnsi="Tahoma" w:cs="Tahoma"/>
          <w:sz w:val="22"/>
          <w:szCs w:val="22"/>
          <w:lang w:val="es-ES_tradnl"/>
        </w:rPr>
      </w:pPr>
    </w:p>
    <w:p w:rsidR="002E78D8" w:rsidRDefault="002E78D8" w:rsidP="002E78D8">
      <w:pPr>
        <w:numPr>
          <w:ilvl w:val="0"/>
          <w:numId w:val="30"/>
        </w:numPr>
        <w:ind w:left="1134" w:hanging="567"/>
        <w:jc w:val="both"/>
        <w:rPr>
          <w:rFonts w:ascii="Tahoma" w:hAnsi="Tahoma" w:cs="Tahoma"/>
          <w:sz w:val="22"/>
          <w:szCs w:val="22"/>
          <w:lang w:val="es-ES_tradnl"/>
        </w:rPr>
      </w:pPr>
      <w:r>
        <w:rPr>
          <w:rFonts w:ascii="Tahoma" w:hAnsi="Tahoma" w:cs="Tahoma"/>
          <w:sz w:val="22"/>
          <w:szCs w:val="22"/>
          <w:lang w:val="es-ES_tradnl"/>
        </w:rPr>
        <w:t>Asimismo, el Informe de Ensayo de Hypatia S.A. (presentado en los fólios 101 y 102 de la propuesta de la Impugnante), tampoco garantiza la esterilidad del producto, toda vez que en el análisis se ha utilizado la técnica USP 32 para Productos No Estériles.</w:t>
      </w:r>
    </w:p>
    <w:p w:rsidR="002E78D8" w:rsidRDefault="002E78D8" w:rsidP="002E78D8">
      <w:pPr>
        <w:tabs>
          <w:tab w:val="num" w:pos="567"/>
        </w:tabs>
        <w:ind w:left="1134" w:hanging="567"/>
        <w:jc w:val="both"/>
        <w:rPr>
          <w:rFonts w:ascii="Tahoma" w:hAnsi="Tahoma" w:cs="Tahoma"/>
          <w:sz w:val="22"/>
          <w:szCs w:val="22"/>
          <w:lang w:val="es-ES_tradnl"/>
        </w:rPr>
      </w:pPr>
    </w:p>
    <w:p w:rsidR="002E78D8" w:rsidRDefault="002E78D8" w:rsidP="002E78D8">
      <w:pPr>
        <w:numPr>
          <w:ilvl w:val="0"/>
          <w:numId w:val="30"/>
        </w:numPr>
        <w:ind w:left="1134" w:hanging="567"/>
        <w:jc w:val="both"/>
        <w:rPr>
          <w:rFonts w:ascii="Tahoma" w:hAnsi="Tahoma" w:cs="Tahoma"/>
          <w:sz w:val="22"/>
          <w:szCs w:val="22"/>
          <w:lang w:val="es-ES_tradnl"/>
        </w:rPr>
      </w:pPr>
      <w:r>
        <w:rPr>
          <w:rFonts w:ascii="Tahoma" w:hAnsi="Tahoma" w:cs="Tahoma"/>
          <w:sz w:val="22"/>
          <w:szCs w:val="22"/>
          <w:lang w:val="es-ES_tradnl"/>
        </w:rPr>
        <w:t>Así también, los resultados que se consignan en las especificaciones, han sido declaradas según el solicitante, es decir dadas por la Impugnante y, además, en los resultados no se determina que exista “0 UFC”, esto significa que no se ha confirmado la esterilidad del producto.</w:t>
      </w:r>
    </w:p>
    <w:p w:rsidR="002E78D8" w:rsidRDefault="002E78D8" w:rsidP="002E78D8">
      <w:pPr>
        <w:tabs>
          <w:tab w:val="num" w:pos="567"/>
        </w:tabs>
        <w:ind w:left="540"/>
        <w:jc w:val="both"/>
        <w:rPr>
          <w:rFonts w:ascii="Tahoma" w:hAnsi="Tahoma" w:cs="Tahoma"/>
          <w:sz w:val="22"/>
          <w:szCs w:val="22"/>
        </w:rPr>
      </w:pPr>
    </w:p>
    <w:p w:rsidR="002E78D8" w:rsidRDefault="002E78D8" w:rsidP="002E78D8">
      <w:pPr>
        <w:numPr>
          <w:ilvl w:val="0"/>
          <w:numId w:val="3"/>
        </w:numPr>
        <w:tabs>
          <w:tab w:val="clear" w:pos="360"/>
          <w:tab w:val="num" w:pos="540"/>
          <w:tab w:val="num" w:pos="567"/>
        </w:tabs>
        <w:ind w:left="540" w:hanging="540"/>
        <w:jc w:val="both"/>
        <w:rPr>
          <w:rFonts w:ascii="Tahoma" w:hAnsi="Tahoma" w:cs="Tahoma"/>
          <w:sz w:val="22"/>
          <w:szCs w:val="22"/>
        </w:rPr>
      </w:pPr>
      <w:r>
        <w:rPr>
          <w:rFonts w:ascii="Tahoma" w:hAnsi="Tahoma" w:cs="Tahoma"/>
          <w:sz w:val="22"/>
          <w:szCs w:val="22"/>
        </w:rPr>
        <w:t>Mediante el escrito presentado el 22 de marzo del 2011, la Entidad remitió el Informe Nº 038-ORM-GCPS-ESSALUD-2011, en el cual informó lo siguiente:</w:t>
      </w:r>
    </w:p>
    <w:p w:rsidR="002E78D8" w:rsidRDefault="002E78D8" w:rsidP="002E78D8">
      <w:pPr>
        <w:tabs>
          <w:tab w:val="num" w:pos="567"/>
        </w:tabs>
        <w:ind w:left="540"/>
        <w:jc w:val="both"/>
        <w:rPr>
          <w:rFonts w:ascii="Tahoma" w:hAnsi="Tahoma" w:cs="Tahoma"/>
          <w:sz w:val="22"/>
          <w:szCs w:val="22"/>
        </w:rPr>
      </w:pPr>
    </w:p>
    <w:p w:rsidR="002E78D8" w:rsidRDefault="002E78D8" w:rsidP="002E78D8">
      <w:pPr>
        <w:numPr>
          <w:ilvl w:val="0"/>
          <w:numId w:val="32"/>
        </w:numPr>
        <w:tabs>
          <w:tab w:val="num" w:pos="567"/>
        </w:tabs>
        <w:ind w:left="1134" w:hanging="567"/>
        <w:jc w:val="both"/>
        <w:rPr>
          <w:rFonts w:ascii="Tahoma" w:hAnsi="Tahoma" w:cs="Tahoma"/>
          <w:sz w:val="22"/>
          <w:szCs w:val="22"/>
        </w:rPr>
      </w:pPr>
      <w:r>
        <w:rPr>
          <w:rFonts w:ascii="Tahoma" w:hAnsi="Tahoma" w:cs="Tahoma"/>
          <w:sz w:val="22"/>
          <w:szCs w:val="22"/>
        </w:rPr>
        <w:t>De acuerdo a las Especificaciones Técnicas establecidas en las Bases, se indicó en el folio 45, sobre la condición del material para los componentes 4 y 6 (Línea de Drenaje y Obturador) que debe ser “esteril”.</w:t>
      </w:r>
    </w:p>
    <w:p w:rsidR="002E78D8" w:rsidRDefault="002E78D8" w:rsidP="002E78D8">
      <w:pPr>
        <w:tabs>
          <w:tab w:val="num" w:pos="567"/>
        </w:tabs>
        <w:ind w:left="1134" w:hanging="567"/>
        <w:jc w:val="both"/>
        <w:rPr>
          <w:rFonts w:ascii="Tahoma" w:hAnsi="Tahoma" w:cs="Tahoma"/>
          <w:sz w:val="22"/>
          <w:szCs w:val="22"/>
        </w:rPr>
      </w:pPr>
    </w:p>
    <w:p w:rsidR="002E78D8" w:rsidRDefault="002E78D8" w:rsidP="002E78D8">
      <w:pPr>
        <w:numPr>
          <w:ilvl w:val="0"/>
          <w:numId w:val="32"/>
        </w:numPr>
        <w:ind w:left="1134" w:hanging="567"/>
        <w:jc w:val="both"/>
        <w:rPr>
          <w:rFonts w:ascii="Tahoma" w:hAnsi="Tahoma" w:cs="Tahoma"/>
          <w:sz w:val="22"/>
          <w:szCs w:val="22"/>
        </w:rPr>
      </w:pPr>
      <w:r>
        <w:rPr>
          <w:rFonts w:ascii="Tahoma" w:hAnsi="Tahoma" w:cs="Tahoma"/>
          <w:sz w:val="22"/>
          <w:szCs w:val="22"/>
        </w:rPr>
        <w:t xml:space="preserve">En tal sentido, la Oficina de Recursos Médicos ha evaluado la propuesta técnica de la Impugnante, evidenciándose en los folios 31 y 103, que dicho fabricante señaló que el componente OBTURADOR (MINICAP) no requiere de esterilización, por cuanto contiene un potente y efectivo desinfectante, </w:t>
      </w:r>
      <w:r>
        <w:rPr>
          <w:rFonts w:ascii="Tahoma" w:hAnsi="Tahoma" w:cs="Tahoma"/>
          <w:sz w:val="22"/>
          <w:szCs w:val="22"/>
        </w:rPr>
        <w:lastRenderedPageBreak/>
        <w:t>bactericida, fungicida y antiséptico (solución de yodopovidona al 10% USP), por lo tanto, según lo establecido en las Bases, no cumple.</w:t>
      </w:r>
    </w:p>
    <w:p w:rsidR="002E78D8" w:rsidRDefault="002E78D8" w:rsidP="002E78D8">
      <w:pPr>
        <w:tabs>
          <w:tab w:val="num" w:pos="567"/>
        </w:tabs>
        <w:ind w:left="1134" w:hanging="567"/>
        <w:jc w:val="both"/>
        <w:rPr>
          <w:rFonts w:ascii="Tahoma" w:hAnsi="Tahoma" w:cs="Tahoma"/>
          <w:sz w:val="22"/>
          <w:szCs w:val="22"/>
        </w:rPr>
      </w:pPr>
    </w:p>
    <w:p w:rsidR="002E78D8" w:rsidRDefault="002E78D8" w:rsidP="002E78D8">
      <w:pPr>
        <w:numPr>
          <w:ilvl w:val="0"/>
          <w:numId w:val="32"/>
        </w:numPr>
        <w:ind w:left="1134" w:hanging="567"/>
        <w:jc w:val="both"/>
        <w:rPr>
          <w:rFonts w:ascii="Tahoma" w:hAnsi="Tahoma" w:cs="Tahoma"/>
          <w:sz w:val="22"/>
          <w:szCs w:val="22"/>
        </w:rPr>
      </w:pPr>
      <w:r>
        <w:rPr>
          <w:rFonts w:ascii="Tahoma" w:hAnsi="Tahoma" w:cs="Tahoma"/>
          <w:sz w:val="22"/>
          <w:szCs w:val="22"/>
        </w:rPr>
        <w:t>Asimismo, señaló que el OBTURADOR contiene la solución desinfectante de yodopovidona, el cual sirve, como su propio nombre lo dice, para obturar el prolongador, es decir, para cerrar el prolongador y evitar de esa manera el contacto con el medio externo. Por lo tanto, reiteraron que el OBTURADOR entra en contacto con el PROLONGADOR y para evitar una posible contaminación, es que el obturador contiene internamente la solución desinfectante de yodopovidona; sin embargo, debido a que las bases del presente proceso establecen que dicho componente debe ser estéril, las propuestas presentadas por la Impugnante y la Adjudicataria no cumplen.</w:t>
      </w:r>
    </w:p>
    <w:p w:rsidR="002E78D8" w:rsidRDefault="002E78D8" w:rsidP="002E78D8">
      <w:pPr>
        <w:tabs>
          <w:tab w:val="num" w:pos="567"/>
        </w:tabs>
        <w:ind w:left="1134" w:hanging="567"/>
        <w:jc w:val="both"/>
        <w:rPr>
          <w:rFonts w:ascii="Tahoma" w:hAnsi="Tahoma" w:cs="Tahoma"/>
          <w:sz w:val="22"/>
          <w:szCs w:val="22"/>
        </w:rPr>
      </w:pPr>
    </w:p>
    <w:p w:rsidR="002E78D8" w:rsidRDefault="002E78D8" w:rsidP="002E78D8">
      <w:pPr>
        <w:numPr>
          <w:ilvl w:val="0"/>
          <w:numId w:val="32"/>
        </w:numPr>
        <w:tabs>
          <w:tab w:val="num" w:pos="567"/>
        </w:tabs>
        <w:ind w:left="1134" w:hanging="567"/>
        <w:jc w:val="both"/>
        <w:rPr>
          <w:rFonts w:ascii="Tahoma" w:hAnsi="Tahoma" w:cs="Tahoma"/>
          <w:sz w:val="22"/>
          <w:szCs w:val="22"/>
        </w:rPr>
      </w:pPr>
      <w:r>
        <w:rPr>
          <w:rFonts w:ascii="Tahoma" w:hAnsi="Tahoma" w:cs="Tahoma"/>
          <w:sz w:val="22"/>
          <w:szCs w:val="22"/>
        </w:rPr>
        <w:t>Finalmente, señaló que se dice que un producto es estéril cuando se ha producido una destrucción o eliminación completa de toda forma de vida microbiana, y que puede llevarse a cabo por procesos físico o químicos como el vapor a presión, calor seco, óxido de etileno, líquidos químicos; asimismo, indicó que la Desinfección/ Antiseptico, es un proceso mediante el cual se elimina la mayoría o todos los microorganismos sobre los objeto inanimados con la excepción de esporas bacterianas, por lo tanto, ningún desinfectante puede lograr la condición de “Esteril”.</w:t>
      </w:r>
    </w:p>
    <w:p w:rsidR="002E78D8" w:rsidRDefault="002E78D8" w:rsidP="002E78D8">
      <w:pPr>
        <w:pStyle w:val="Prrafodelista"/>
        <w:rPr>
          <w:rFonts w:ascii="Tahoma" w:hAnsi="Tahoma" w:cs="Tahoma"/>
          <w:sz w:val="22"/>
          <w:szCs w:val="22"/>
        </w:rPr>
      </w:pPr>
    </w:p>
    <w:p w:rsidR="002E78D8" w:rsidRPr="00D11695" w:rsidRDefault="002E78D8" w:rsidP="002E78D8">
      <w:pPr>
        <w:numPr>
          <w:ilvl w:val="0"/>
          <w:numId w:val="3"/>
        </w:numPr>
        <w:tabs>
          <w:tab w:val="clear" w:pos="360"/>
          <w:tab w:val="num" w:pos="540"/>
          <w:tab w:val="num" w:pos="567"/>
        </w:tabs>
        <w:ind w:left="540" w:hanging="540"/>
        <w:jc w:val="both"/>
        <w:rPr>
          <w:rFonts w:ascii="Tahoma" w:hAnsi="Tahoma" w:cs="Tahoma"/>
          <w:sz w:val="22"/>
          <w:szCs w:val="22"/>
        </w:rPr>
      </w:pPr>
      <w:r w:rsidRPr="00D11695">
        <w:rPr>
          <w:rFonts w:ascii="Tahoma" w:hAnsi="Tahoma" w:cs="Tahoma"/>
          <w:sz w:val="22"/>
          <w:szCs w:val="22"/>
        </w:rPr>
        <w:t xml:space="preserve">Con </w:t>
      </w:r>
      <w:r>
        <w:rPr>
          <w:rFonts w:ascii="Tahoma" w:hAnsi="Tahoma" w:cs="Tahoma"/>
          <w:sz w:val="22"/>
          <w:szCs w:val="22"/>
        </w:rPr>
        <w:t xml:space="preserve">decreto </w:t>
      </w:r>
      <w:r w:rsidRPr="00D11695">
        <w:rPr>
          <w:rFonts w:ascii="Tahoma" w:hAnsi="Tahoma" w:cs="Tahoma"/>
          <w:sz w:val="22"/>
          <w:szCs w:val="22"/>
        </w:rPr>
        <w:t>fecha 23 de marzo del 2011, se declaró el expediente listo para resolver.</w:t>
      </w:r>
    </w:p>
    <w:p w:rsidR="002E78D8" w:rsidRDefault="002E78D8" w:rsidP="002E78D8">
      <w:pPr>
        <w:pStyle w:val="Prrafodelista"/>
        <w:rPr>
          <w:rFonts w:ascii="Tahoma" w:hAnsi="Tahoma" w:cs="Tahoma"/>
          <w:sz w:val="22"/>
          <w:szCs w:val="22"/>
        </w:rPr>
      </w:pPr>
    </w:p>
    <w:p w:rsidR="002E78D8" w:rsidRDefault="002E78D8" w:rsidP="002E78D8">
      <w:pPr>
        <w:numPr>
          <w:ilvl w:val="0"/>
          <w:numId w:val="3"/>
        </w:numPr>
        <w:tabs>
          <w:tab w:val="clear" w:pos="360"/>
          <w:tab w:val="num" w:pos="540"/>
          <w:tab w:val="num" w:pos="567"/>
        </w:tabs>
        <w:ind w:left="540" w:hanging="540"/>
        <w:jc w:val="both"/>
        <w:rPr>
          <w:rFonts w:ascii="Tahoma" w:hAnsi="Tahoma" w:cs="Tahoma"/>
          <w:sz w:val="22"/>
          <w:szCs w:val="22"/>
        </w:rPr>
      </w:pPr>
      <w:r>
        <w:rPr>
          <w:rFonts w:ascii="Tahoma" w:hAnsi="Tahoma" w:cs="Tahoma"/>
          <w:sz w:val="22"/>
          <w:szCs w:val="22"/>
        </w:rPr>
        <w:t>A través del escrito presentado el 23 de marzo del 2011, el Impugnante reiteró que si ha cumplido con los factores de evaluación establecidos en las Bases del Proceso de Selección, por cuanto adjuntaron su propuesta técnica, copia del “Contrato de Distribución Exclusiva” suscrito entre la Impugnante y Hersil S.A. Laboratorios Industriales Farmacéuticos, por el cual acreditan el cumplimiento al factor de evaluación de “Experiencia del Postor”; así como la Constancia de Prestación remitida por dicha empresa, en la que declaraba su conformidad con la ejecución del contrato, con lo que acreditaron el cumplimiento del factor de evaluación de “Cumplimiento de la Prestación.</w:t>
      </w:r>
    </w:p>
    <w:p w:rsidR="002E78D8" w:rsidRDefault="002E78D8" w:rsidP="002E78D8">
      <w:pPr>
        <w:tabs>
          <w:tab w:val="num" w:pos="567"/>
        </w:tabs>
        <w:ind w:left="540"/>
        <w:jc w:val="both"/>
        <w:rPr>
          <w:rFonts w:ascii="Tahoma" w:hAnsi="Tahoma" w:cs="Tahoma"/>
          <w:sz w:val="22"/>
          <w:szCs w:val="22"/>
        </w:rPr>
      </w:pPr>
    </w:p>
    <w:p w:rsidR="002E78D8" w:rsidRDefault="002E78D8" w:rsidP="002E78D8">
      <w:pPr>
        <w:numPr>
          <w:ilvl w:val="0"/>
          <w:numId w:val="33"/>
        </w:numPr>
        <w:ind w:left="1134" w:hanging="567"/>
        <w:jc w:val="both"/>
        <w:rPr>
          <w:rFonts w:ascii="Tahoma" w:hAnsi="Tahoma" w:cs="Tahoma"/>
          <w:sz w:val="22"/>
          <w:szCs w:val="22"/>
        </w:rPr>
      </w:pPr>
      <w:r>
        <w:rPr>
          <w:rFonts w:ascii="Tahoma" w:hAnsi="Tahoma" w:cs="Tahoma"/>
          <w:sz w:val="22"/>
          <w:szCs w:val="22"/>
        </w:rPr>
        <w:t>Asimismo, volvió a reiterar que el Adjudicatario no cumplió con las Bases Administrativas al ofertar los componentes denominados “Línea de Drenaje” y “Obturador”.</w:t>
      </w:r>
    </w:p>
    <w:p w:rsidR="002E78D8" w:rsidRDefault="002E78D8" w:rsidP="002E78D8">
      <w:pPr>
        <w:tabs>
          <w:tab w:val="num" w:pos="567"/>
        </w:tabs>
        <w:ind w:left="1134" w:hanging="567"/>
        <w:jc w:val="both"/>
        <w:rPr>
          <w:rFonts w:ascii="Tahoma" w:hAnsi="Tahoma" w:cs="Tahoma"/>
          <w:sz w:val="22"/>
          <w:szCs w:val="22"/>
        </w:rPr>
      </w:pPr>
    </w:p>
    <w:p w:rsidR="002E78D8" w:rsidRDefault="002E78D8" w:rsidP="002E78D8">
      <w:pPr>
        <w:numPr>
          <w:ilvl w:val="0"/>
          <w:numId w:val="33"/>
        </w:numPr>
        <w:ind w:left="1134" w:hanging="567"/>
        <w:jc w:val="both"/>
        <w:rPr>
          <w:rFonts w:ascii="Tahoma" w:hAnsi="Tahoma" w:cs="Tahoma"/>
          <w:sz w:val="22"/>
          <w:szCs w:val="22"/>
        </w:rPr>
      </w:pPr>
      <w:r>
        <w:rPr>
          <w:rFonts w:ascii="Tahoma" w:hAnsi="Tahoma" w:cs="Tahoma"/>
          <w:sz w:val="22"/>
          <w:szCs w:val="22"/>
        </w:rPr>
        <w:t xml:space="preserve">Por otra parte, señaló que a fojas 31 de su propuesta, se adjuntó el formato de “Declaración Jurada de Presentación del Producto y de Compromiso de Plazo de Entrega”, en el cual, respecto a la esterilidad del componente “Obturador”, remite al folio 103, documento en el cual se consignó que la Yodopovidona es un potente y eficaz desinfectante, bactericida, fungicida y antiséptico que impide el crecimiento de cualquier </w:t>
      </w:r>
      <w:r>
        <w:rPr>
          <w:rFonts w:ascii="Tahoma" w:hAnsi="Tahoma" w:cs="Tahoma"/>
          <w:sz w:val="22"/>
          <w:szCs w:val="22"/>
        </w:rPr>
        <w:lastRenderedPageBreak/>
        <w:t>microorganismo, lo cual se demuestra mediante el estudio de estabilidad presentado en su solicitud de Registro Sanitario, por lo que su producto no requería un método de esterilización terminal.</w:t>
      </w:r>
    </w:p>
    <w:p w:rsidR="002E78D8" w:rsidRDefault="002E78D8" w:rsidP="002E78D8">
      <w:pPr>
        <w:tabs>
          <w:tab w:val="num" w:pos="567"/>
        </w:tabs>
        <w:ind w:left="1134" w:hanging="567"/>
        <w:jc w:val="both"/>
        <w:rPr>
          <w:rFonts w:ascii="Tahoma" w:hAnsi="Tahoma" w:cs="Tahoma"/>
          <w:sz w:val="22"/>
          <w:szCs w:val="22"/>
        </w:rPr>
      </w:pPr>
    </w:p>
    <w:p w:rsidR="002E78D8" w:rsidRDefault="002E78D8" w:rsidP="002E78D8">
      <w:pPr>
        <w:numPr>
          <w:ilvl w:val="0"/>
          <w:numId w:val="33"/>
        </w:numPr>
        <w:ind w:left="1134" w:hanging="567"/>
        <w:jc w:val="both"/>
        <w:rPr>
          <w:rFonts w:ascii="Tahoma" w:hAnsi="Tahoma" w:cs="Tahoma"/>
          <w:sz w:val="22"/>
          <w:szCs w:val="22"/>
        </w:rPr>
      </w:pPr>
      <w:r>
        <w:rPr>
          <w:rFonts w:ascii="Tahoma" w:hAnsi="Tahoma" w:cs="Tahoma"/>
          <w:sz w:val="22"/>
          <w:szCs w:val="22"/>
        </w:rPr>
        <w:t>En tal sentido, tanto en las especificaciones de su producto, como en su presentación, declararon que la esterilización se especifica en el folio 103 de su propuesta, ya que el producto MINICAP cuenta con un poderoso desinfectante que lo hace apto para el tratamiento de pacientes.</w:t>
      </w:r>
    </w:p>
    <w:p w:rsidR="002E78D8" w:rsidRDefault="002E78D8" w:rsidP="002E78D8">
      <w:pPr>
        <w:tabs>
          <w:tab w:val="num" w:pos="567"/>
        </w:tabs>
        <w:ind w:left="1134" w:hanging="567"/>
        <w:jc w:val="both"/>
        <w:rPr>
          <w:rFonts w:ascii="Tahoma" w:hAnsi="Tahoma" w:cs="Tahoma"/>
          <w:sz w:val="22"/>
          <w:szCs w:val="22"/>
        </w:rPr>
      </w:pPr>
    </w:p>
    <w:p w:rsidR="002E78D8" w:rsidRDefault="002E78D8" w:rsidP="002E78D8">
      <w:pPr>
        <w:numPr>
          <w:ilvl w:val="0"/>
          <w:numId w:val="33"/>
        </w:numPr>
        <w:tabs>
          <w:tab w:val="num" w:pos="567"/>
        </w:tabs>
        <w:ind w:left="1134" w:hanging="567"/>
        <w:jc w:val="both"/>
        <w:rPr>
          <w:rFonts w:ascii="Tahoma" w:hAnsi="Tahoma" w:cs="Tahoma"/>
          <w:sz w:val="22"/>
          <w:szCs w:val="22"/>
        </w:rPr>
      </w:pPr>
      <w:r>
        <w:rPr>
          <w:rFonts w:ascii="Tahoma" w:hAnsi="Tahoma" w:cs="Tahoma"/>
          <w:sz w:val="22"/>
          <w:szCs w:val="22"/>
        </w:rPr>
        <w:t>Así también, adjuntó la prueba de estabilidad presentada ante DIGEMID para obtener el Registro Sanitario, donde se verifica que el producto se mantiene estéril a lo largo de su vida útil, encontrándose que si bien, no se emplea un método de esterilización del producto final, la Yodopovidona cumple su rol desinfectante, manteniendo la esterilidad del obturador a través del tiempo.</w:t>
      </w:r>
    </w:p>
    <w:p w:rsidR="002E78D8" w:rsidRDefault="002E78D8" w:rsidP="002E78D8">
      <w:pPr>
        <w:pStyle w:val="Prrafodelista"/>
        <w:rPr>
          <w:rFonts w:ascii="Tahoma" w:hAnsi="Tahoma" w:cs="Tahoma"/>
          <w:sz w:val="22"/>
          <w:szCs w:val="22"/>
        </w:rPr>
      </w:pPr>
    </w:p>
    <w:p w:rsidR="002E78D8" w:rsidRDefault="002E78D8" w:rsidP="002E78D8">
      <w:pPr>
        <w:numPr>
          <w:ilvl w:val="0"/>
          <w:numId w:val="3"/>
        </w:numPr>
        <w:tabs>
          <w:tab w:val="clear" w:pos="360"/>
          <w:tab w:val="num" w:pos="540"/>
          <w:tab w:val="num" w:pos="567"/>
        </w:tabs>
        <w:ind w:left="540" w:hanging="540"/>
        <w:jc w:val="both"/>
        <w:rPr>
          <w:rFonts w:ascii="Tahoma" w:hAnsi="Tahoma" w:cs="Tahoma"/>
          <w:sz w:val="22"/>
          <w:szCs w:val="22"/>
        </w:rPr>
      </w:pPr>
      <w:r>
        <w:rPr>
          <w:rFonts w:ascii="Tahoma" w:hAnsi="Tahoma" w:cs="Tahoma"/>
          <w:sz w:val="22"/>
          <w:szCs w:val="22"/>
          <w:lang w:val="es-ES_tradnl"/>
        </w:rPr>
        <w:t>Con</w:t>
      </w:r>
      <w:r>
        <w:rPr>
          <w:rFonts w:ascii="Tahoma" w:hAnsi="Tahoma" w:cs="Tahoma"/>
          <w:sz w:val="22"/>
          <w:szCs w:val="22"/>
        </w:rPr>
        <w:t xml:space="preserve"> escrito presentado el 24 de marzo del 2011, solicitó el Adjudicatario plazo adicional para ejercer su derecho de defensa respecto a lo señalado por la Entidad, a través del Informe Nº 038-ORM-GCPS-ESSALUD-2011.</w:t>
      </w:r>
    </w:p>
    <w:p w:rsidR="002E78D8" w:rsidRDefault="002E78D8" w:rsidP="002E78D8">
      <w:pPr>
        <w:tabs>
          <w:tab w:val="num" w:pos="567"/>
        </w:tabs>
        <w:ind w:left="540"/>
        <w:jc w:val="both"/>
        <w:rPr>
          <w:rFonts w:ascii="Tahoma" w:hAnsi="Tahoma" w:cs="Tahoma"/>
          <w:sz w:val="22"/>
          <w:szCs w:val="22"/>
        </w:rPr>
      </w:pPr>
    </w:p>
    <w:p w:rsidR="002E78D8" w:rsidRDefault="002E78D8" w:rsidP="002E78D8">
      <w:pPr>
        <w:tabs>
          <w:tab w:val="num" w:pos="567"/>
        </w:tabs>
        <w:ind w:left="540"/>
        <w:jc w:val="both"/>
        <w:rPr>
          <w:rFonts w:ascii="Tahoma" w:hAnsi="Tahoma" w:cs="Tahoma"/>
          <w:sz w:val="22"/>
          <w:szCs w:val="22"/>
        </w:rPr>
      </w:pPr>
      <w:r>
        <w:rPr>
          <w:rFonts w:ascii="Tahoma" w:hAnsi="Tahoma" w:cs="Tahoma"/>
          <w:sz w:val="22"/>
          <w:szCs w:val="22"/>
        </w:rPr>
        <w:t>Por otro lado, indicó que dicho informe no sólo contradice la evaluación técnica realizada por el Comité Especial sino también los propios actos de la Entidad en proceso anteriores, toda vez que el comité determinó que su propuesta cumplía con lo establecido en las Bases, no obstante ello, sin ninguna prueba o ensayo de laboratorio que cuestione la esterilidad de su producto, la Entidad alegó que su propuesta no cumple con las Bases, además, agregó, que la Entidad ya adquirido el producto “Obturador” con yodopovidona, sin que haya sido cuestionado, tal como se puede advertir, a modo de ejemplo, en la Adjudicación de Menor Cuantía Nº 0836M00171.</w:t>
      </w:r>
    </w:p>
    <w:p w:rsidR="002E78D8" w:rsidRDefault="002E78D8" w:rsidP="002E78D8">
      <w:pPr>
        <w:jc w:val="both"/>
        <w:rPr>
          <w:rFonts w:ascii="Tahoma" w:hAnsi="Tahoma" w:cs="Tahoma"/>
          <w:sz w:val="22"/>
          <w:szCs w:val="22"/>
        </w:rPr>
      </w:pPr>
    </w:p>
    <w:p w:rsidR="002E78D8" w:rsidRDefault="002E78D8" w:rsidP="002E78D8">
      <w:pPr>
        <w:numPr>
          <w:ilvl w:val="0"/>
          <w:numId w:val="3"/>
        </w:numPr>
        <w:tabs>
          <w:tab w:val="clear" w:pos="360"/>
          <w:tab w:val="num" w:pos="540"/>
          <w:tab w:val="num" w:pos="567"/>
        </w:tabs>
        <w:ind w:left="540" w:hanging="540"/>
        <w:jc w:val="both"/>
        <w:rPr>
          <w:rFonts w:ascii="Tahoma" w:hAnsi="Tahoma" w:cs="Tahoma"/>
          <w:sz w:val="22"/>
          <w:szCs w:val="22"/>
        </w:rPr>
      </w:pPr>
      <w:r>
        <w:rPr>
          <w:rFonts w:ascii="Tahoma" w:hAnsi="Tahoma" w:cs="Tahoma"/>
          <w:sz w:val="22"/>
          <w:szCs w:val="22"/>
        </w:rPr>
        <w:t>Mediante decreto de fecha 25 de marzo del 2011, se accedió a lo solicitado por el Adjudicatario, por lo que se dejó sin efecto el decreto que declaró el expediente listo para resolver, otorgándosele tres días al Adjudicatario a fin que presente su contradicción a lo señalado por la Entidad.</w:t>
      </w:r>
    </w:p>
    <w:p w:rsidR="002E78D8" w:rsidRDefault="002E78D8" w:rsidP="002E78D8">
      <w:pPr>
        <w:tabs>
          <w:tab w:val="num" w:pos="567"/>
        </w:tabs>
        <w:ind w:left="540"/>
        <w:jc w:val="both"/>
        <w:rPr>
          <w:rFonts w:ascii="Tahoma" w:hAnsi="Tahoma" w:cs="Tahoma"/>
          <w:sz w:val="22"/>
          <w:szCs w:val="22"/>
        </w:rPr>
      </w:pPr>
    </w:p>
    <w:p w:rsidR="002E78D8" w:rsidRDefault="002E78D8" w:rsidP="002E78D8">
      <w:pPr>
        <w:numPr>
          <w:ilvl w:val="0"/>
          <w:numId w:val="3"/>
        </w:numPr>
        <w:tabs>
          <w:tab w:val="clear" w:pos="360"/>
          <w:tab w:val="num" w:pos="540"/>
          <w:tab w:val="num" w:pos="567"/>
        </w:tabs>
        <w:ind w:left="540" w:hanging="540"/>
        <w:jc w:val="both"/>
        <w:rPr>
          <w:rFonts w:ascii="Tahoma" w:hAnsi="Tahoma" w:cs="Tahoma"/>
          <w:sz w:val="22"/>
          <w:szCs w:val="22"/>
        </w:rPr>
      </w:pPr>
      <w:r>
        <w:rPr>
          <w:rFonts w:ascii="Tahoma" w:hAnsi="Tahoma" w:cs="Tahoma"/>
          <w:sz w:val="22"/>
          <w:szCs w:val="22"/>
        </w:rPr>
        <w:t>A través del escrito presentado el 30 de marzo del 2011, el Adjudicatario adjuntó el Informe Técnico Nº AST-064-03-2011, emitido por la Dra. Ana María Chávez y, además, señaló que la posición de ESSALUD al alegar que el obturador presentado no cumpliría con la condición es estéril, es errónea y carece de fundamento, al no haber presentado prueba o ensayo de laboratorio que cuestione la esterilidad, ni se ha presentado ningún tipo de literatura científica que avale sus conclusiones.</w:t>
      </w:r>
    </w:p>
    <w:p w:rsidR="002E78D8" w:rsidRDefault="002E78D8" w:rsidP="002E78D8">
      <w:pPr>
        <w:pStyle w:val="Prrafodelista"/>
        <w:ind w:left="0"/>
        <w:rPr>
          <w:rFonts w:ascii="Tahoma" w:hAnsi="Tahoma" w:cs="Tahoma"/>
          <w:sz w:val="22"/>
          <w:szCs w:val="22"/>
        </w:rPr>
      </w:pPr>
    </w:p>
    <w:p w:rsidR="002E78D8" w:rsidRDefault="002E78D8" w:rsidP="002E78D8">
      <w:pPr>
        <w:tabs>
          <w:tab w:val="num" w:pos="567"/>
        </w:tabs>
        <w:ind w:left="540"/>
        <w:jc w:val="both"/>
        <w:rPr>
          <w:rFonts w:ascii="Tahoma" w:hAnsi="Tahoma" w:cs="Tahoma"/>
          <w:sz w:val="22"/>
          <w:szCs w:val="22"/>
        </w:rPr>
      </w:pPr>
      <w:r>
        <w:rPr>
          <w:rFonts w:ascii="Tahoma" w:hAnsi="Tahoma" w:cs="Tahoma"/>
          <w:sz w:val="22"/>
          <w:szCs w:val="22"/>
        </w:rPr>
        <w:t xml:space="preserve">En tal sentido, afirmó que la famacopedia vigente define el concepto de esterilidad a la ausencia viable de microorganismos; no obstante, la farmacopedia </w:t>
      </w:r>
      <w:r>
        <w:rPr>
          <w:rFonts w:ascii="Tahoma" w:hAnsi="Tahoma" w:cs="Tahoma"/>
          <w:sz w:val="22"/>
          <w:szCs w:val="22"/>
        </w:rPr>
        <w:lastRenderedPageBreak/>
        <w:t>es clara en indicar que la esterilidad de un espécimen o producto tiene que ser acreditada de manera probalística debido a que no puede lograrse una precisión absoluta sobre la total ausencia de microorganismos, por lo tanto, para definir la esterilidad de un componente o producto se debe verificar si, en términos probabilísticos, hay ausencia de microorganismos en el.</w:t>
      </w:r>
    </w:p>
    <w:p w:rsidR="002E78D8" w:rsidRPr="003E6C7E" w:rsidRDefault="002E78D8" w:rsidP="002E78D8">
      <w:pPr>
        <w:pStyle w:val="Prrafodelista"/>
        <w:rPr>
          <w:rFonts w:ascii="Tahoma" w:hAnsi="Tahoma" w:cs="Tahoma"/>
          <w:sz w:val="22"/>
          <w:szCs w:val="22"/>
        </w:rPr>
      </w:pPr>
    </w:p>
    <w:p w:rsidR="002E78D8" w:rsidRDefault="002E78D8" w:rsidP="002E78D8">
      <w:pPr>
        <w:tabs>
          <w:tab w:val="num" w:pos="567"/>
        </w:tabs>
        <w:ind w:left="540"/>
        <w:jc w:val="both"/>
        <w:rPr>
          <w:rFonts w:ascii="Tahoma" w:hAnsi="Tahoma" w:cs="Tahoma"/>
          <w:sz w:val="22"/>
          <w:szCs w:val="22"/>
        </w:rPr>
      </w:pPr>
      <w:r>
        <w:rPr>
          <w:rFonts w:ascii="Tahoma" w:hAnsi="Tahoma" w:cs="Tahoma"/>
          <w:sz w:val="22"/>
          <w:szCs w:val="22"/>
        </w:rPr>
        <w:t>Asimismo, señaló que el obturador del Adjudicatario tiene yodopovidona, que es un poderoso germicida que elimina los microorganismos que afectan la salud humana, en tal sentido, lo que asegura la ausencia de microorganimos de dicho producto, es la colocación de “yodopovidona”, la misma que ejerce acción destructiva sobre bacterias, hongos, micobacterias, virus y protozoos, incluyendo esporas bacterianas, tal como se concluyó en el Informe Técnico Nº AST-064-03-2011, emitido por la Dra. Ana María Chávez, el mismo que está avalado por diversa literatura científica autorizada.</w:t>
      </w:r>
    </w:p>
    <w:p w:rsidR="002E78D8" w:rsidRDefault="002E78D8" w:rsidP="002E78D8">
      <w:pPr>
        <w:tabs>
          <w:tab w:val="num" w:pos="567"/>
        </w:tabs>
        <w:ind w:left="540"/>
        <w:jc w:val="both"/>
        <w:rPr>
          <w:rFonts w:ascii="Tahoma" w:hAnsi="Tahoma" w:cs="Tahoma"/>
          <w:sz w:val="22"/>
          <w:szCs w:val="22"/>
        </w:rPr>
      </w:pPr>
    </w:p>
    <w:p w:rsidR="002E78D8" w:rsidRDefault="002E78D8" w:rsidP="002E78D8">
      <w:pPr>
        <w:tabs>
          <w:tab w:val="num" w:pos="567"/>
        </w:tabs>
        <w:ind w:left="540"/>
        <w:jc w:val="both"/>
        <w:rPr>
          <w:rFonts w:ascii="Tahoma" w:hAnsi="Tahoma" w:cs="Tahoma"/>
          <w:sz w:val="22"/>
          <w:szCs w:val="22"/>
        </w:rPr>
      </w:pPr>
      <w:r>
        <w:rPr>
          <w:rFonts w:ascii="Tahoma" w:hAnsi="Tahoma" w:cs="Tahoma"/>
          <w:sz w:val="22"/>
          <w:szCs w:val="22"/>
        </w:rPr>
        <w:t>Así también, afirmó que es incorrecto lo señalado por la Entidad, respecto a que a través de la yodopovidona no se pueden eliminar esporas bacterianas, toda vez que la literatura científica confirma que dicho elemento elimina los microorganismos que ponen en riesgo la salud, por sus potentes funciones bactericidas, fungicidas, virucidas, microbicidas y esporicidas, lo cual incluye la eliminación de esporas bacterianas.</w:t>
      </w:r>
    </w:p>
    <w:p w:rsidR="002E78D8" w:rsidRDefault="002E78D8" w:rsidP="002E78D8">
      <w:pPr>
        <w:tabs>
          <w:tab w:val="num" w:pos="567"/>
        </w:tabs>
        <w:ind w:left="540"/>
        <w:jc w:val="both"/>
        <w:rPr>
          <w:rFonts w:ascii="Tahoma" w:hAnsi="Tahoma" w:cs="Tahoma"/>
          <w:sz w:val="22"/>
          <w:szCs w:val="22"/>
        </w:rPr>
      </w:pPr>
    </w:p>
    <w:p w:rsidR="002E78D8" w:rsidRDefault="002E78D8" w:rsidP="002E78D8">
      <w:pPr>
        <w:tabs>
          <w:tab w:val="num" w:pos="567"/>
        </w:tabs>
        <w:ind w:left="540"/>
        <w:jc w:val="both"/>
        <w:rPr>
          <w:rFonts w:ascii="Tahoma" w:hAnsi="Tahoma" w:cs="Tahoma"/>
          <w:sz w:val="22"/>
          <w:szCs w:val="22"/>
        </w:rPr>
      </w:pPr>
      <w:r>
        <w:rPr>
          <w:rFonts w:ascii="Tahoma" w:hAnsi="Tahoma" w:cs="Tahoma"/>
          <w:sz w:val="22"/>
          <w:szCs w:val="22"/>
        </w:rPr>
        <w:t>Además, agregó que tal como se indicó en la carta del fabricante, así como de las especificaciones técnicas presentadas, el obturador que ofertó contiene una solución de yodopovidona en su cámara reservorio, la misma que genera que en dicho componente haya ausencia de microorganismos viables, tal como se señala en el Informe Técnico Nº AST-064-03-2011, emitido por la Dra. Ana María Chávez, en la cual se señaló que “La condición microbiológica del obturador debida a la yodopovidona es la ausencia de microorganismos viables tales como: bacterias grampositivas, bacterias gramnegativas, hongos, virus, quistes, protozoarios, micobacterias, además, de esporas de bacilos y de clostridios según la literatura técnica especializada, siendo la acción que este liquido químico ejerce: bactericida, fungicida, virucida, microbicida y esporicida, respectivamente”, por lo cual, se debe considerar que el obturador ofertado tiene la calidad de estéril, en tanto que hay ausencia de microorganimos viables, por la fuerte acción de la yodopovidona, debiéndose afirmar que dicho componente si cumple con lo establecido en las Bases.</w:t>
      </w:r>
    </w:p>
    <w:p w:rsidR="002E78D8" w:rsidRDefault="002E78D8" w:rsidP="002E78D8">
      <w:pPr>
        <w:tabs>
          <w:tab w:val="num" w:pos="567"/>
        </w:tabs>
        <w:ind w:left="540"/>
        <w:jc w:val="both"/>
        <w:rPr>
          <w:rFonts w:ascii="Tahoma" w:hAnsi="Tahoma" w:cs="Tahoma"/>
          <w:sz w:val="22"/>
          <w:szCs w:val="22"/>
        </w:rPr>
      </w:pPr>
    </w:p>
    <w:p w:rsidR="002E78D8" w:rsidRDefault="002E78D8" w:rsidP="002E78D8">
      <w:pPr>
        <w:tabs>
          <w:tab w:val="num" w:pos="567"/>
        </w:tabs>
        <w:ind w:left="540"/>
        <w:jc w:val="both"/>
        <w:rPr>
          <w:rFonts w:ascii="Tahoma" w:hAnsi="Tahoma" w:cs="Tahoma"/>
          <w:sz w:val="22"/>
          <w:szCs w:val="22"/>
        </w:rPr>
      </w:pPr>
      <w:r>
        <w:rPr>
          <w:rFonts w:ascii="Tahoma" w:hAnsi="Tahoma" w:cs="Tahoma"/>
          <w:sz w:val="22"/>
          <w:szCs w:val="22"/>
        </w:rPr>
        <w:t>Por otro lado, señaló que la posición de la Entidad no sólo es contradictoria con lo señalado por el Comité Especial, sino también con sus propios actos, debido que el producto “obturador” con yodopovidona es un producto que ha sido adquirido en diversas oportunidades por la Entidad, como en los procesos de selección Adjudicación de Menor Cuantía Nº 22741-2008, Adjudicación Directa Pública Nº 341-2006 y Adjudicación de Menor Cuantía Nº 55-2009, sin que haya sido cuestionado.</w:t>
      </w:r>
    </w:p>
    <w:p w:rsidR="002E78D8" w:rsidRDefault="002E78D8" w:rsidP="002E78D8">
      <w:pPr>
        <w:tabs>
          <w:tab w:val="num" w:pos="567"/>
        </w:tabs>
        <w:ind w:left="540"/>
        <w:jc w:val="both"/>
        <w:rPr>
          <w:rFonts w:ascii="Tahoma" w:hAnsi="Tahoma" w:cs="Tahoma"/>
          <w:sz w:val="22"/>
          <w:szCs w:val="22"/>
        </w:rPr>
      </w:pPr>
    </w:p>
    <w:p w:rsidR="002E78D8" w:rsidRDefault="002E78D8" w:rsidP="002E78D8">
      <w:pPr>
        <w:numPr>
          <w:ilvl w:val="0"/>
          <w:numId w:val="3"/>
        </w:numPr>
        <w:tabs>
          <w:tab w:val="clear" w:pos="360"/>
          <w:tab w:val="num" w:pos="540"/>
          <w:tab w:val="num" w:pos="567"/>
        </w:tabs>
        <w:ind w:left="540" w:hanging="540"/>
        <w:jc w:val="both"/>
        <w:rPr>
          <w:rFonts w:ascii="Tahoma" w:hAnsi="Tahoma" w:cs="Tahoma"/>
          <w:sz w:val="22"/>
          <w:szCs w:val="22"/>
        </w:rPr>
      </w:pPr>
      <w:r>
        <w:rPr>
          <w:rFonts w:ascii="Tahoma" w:hAnsi="Tahoma" w:cs="Tahoma"/>
          <w:sz w:val="22"/>
          <w:szCs w:val="22"/>
        </w:rPr>
        <w:t>Con decreto de fecha 31 de marzo del 2011, se declaró el expediente listo para resolver.</w:t>
      </w:r>
    </w:p>
    <w:p w:rsidR="002E78D8" w:rsidRDefault="002E78D8" w:rsidP="002E78D8">
      <w:pPr>
        <w:tabs>
          <w:tab w:val="num" w:pos="567"/>
        </w:tabs>
        <w:jc w:val="both"/>
        <w:rPr>
          <w:rFonts w:ascii="Tahoma" w:hAnsi="Tahoma" w:cs="Tahoma"/>
          <w:sz w:val="22"/>
          <w:szCs w:val="22"/>
        </w:rPr>
      </w:pPr>
    </w:p>
    <w:p w:rsidR="002E78D8" w:rsidRPr="004929CB" w:rsidRDefault="002E78D8" w:rsidP="002E78D8">
      <w:pPr>
        <w:pStyle w:val="Prrafodelista"/>
        <w:numPr>
          <w:ilvl w:val="0"/>
          <w:numId w:val="10"/>
        </w:numPr>
        <w:ind w:left="567" w:hanging="283"/>
        <w:jc w:val="both"/>
        <w:rPr>
          <w:rFonts w:ascii="Tahoma" w:hAnsi="Tahoma" w:cs="Tahoma"/>
          <w:sz w:val="21"/>
          <w:szCs w:val="21"/>
        </w:rPr>
      </w:pPr>
      <w:r w:rsidRPr="004929CB">
        <w:rPr>
          <w:rFonts w:ascii="Tahoma" w:hAnsi="Tahoma" w:cs="Tahoma"/>
          <w:b/>
          <w:bCs/>
          <w:shadow/>
          <w:sz w:val="21"/>
          <w:szCs w:val="21"/>
        </w:rPr>
        <w:t>FUNDAMENTACION:</w:t>
      </w:r>
    </w:p>
    <w:p w:rsidR="002E78D8" w:rsidRPr="004929CB" w:rsidRDefault="002E78D8" w:rsidP="002E78D8">
      <w:pPr>
        <w:tabs>
          <w:tab w:val="left" w:pos="567"/>
        </w:tabs>
        <w:autoSpaceDE w:val="0"/>
        <w:autoSpaceDN w:val="0"/>
        <w:adjustRightInd w:val="0"/>
        <w:jc w:val="both"/>
        <w:rPr>
          <w:rFonts w:ascii="Tahoma" w:hAnsi="Tahoma" w:cs="Tahoma"/>
          <w:sz w:val="21"/>
          <w:szCs w:val="21"/>
        </w:rPr>
      </w:pPr>
    </w:p>
    <w:p w:rsidR="002E78D8" w:rsidRDefault="002E78D8" w:rsidP="002E78D8">
      <w:pPr>
        <w:numPr>
          <w:ilvl w:val="0"/>
          <w:numId w:val="1"/>
        </w:numPr>
        <w:tabs>
          <w:tab w:val="left" w:pos="567"/>
        </w:tabs>
        <w:autoSpaceDE w:val="0"/>
        <w:autoSpaceDN w:val="0"/>
        <w:adjustRightInd w:val="0"/>
        <w:ind w:left="567" w:hanging="567"/>
        <w:jc w:val="both"/>
        <w:rPr>
          <w:rFonts w:ascii="Tahoma" w:hAnsi="Tahoma" w:cs="Tahoma"/>
          <w:sz w:val="22"/>
          <w:szCs w:val="22"/>
        </w:rPr>
      </w:pPr>
      <w:r w:rsidRPr="002C1945">
        <w:rPr>
          <w:rFonts w:ascii="Tahoma" w:hAnsi="Tahoma" w:cs="Tahoma"/>
          <w:sz w:val="22"/>
          <w:szCs w:val="22"/>
        </w:rPr>
        <w:t xml:space="preserve">Es materia del presente procedimiento administrativo el recurso de apelación interpuesto por el Impugnante en </w:t>
      </w:r>
      <w:r w:rsidRPr="002C1945">
        <w:rPr>
          <w:rFonts w:ascii="Tahoma" w:hAnsi="Tahoma" w:cs="Tahoma"/>
          <w:color w:val="000000"/>
          <w:sz w:val="22"/>
          <w:szCs w:val="22"/>
        </w:rPr>
        <w:t>contra de</w:t>
      </w:r>
      <w:r w:rsidRPr="007E0F4C">
        <w:rPr>
          <w:rFonts w:ascii="Tahoma" w:hAnsi="Tahoma" w:cs="Tahoma"/>
          <w:sz w:val="22"/>
          <w:szCs w:val="22"/>
          <w:lang w:val="es-PE"/>
        </w:rPr>
        <w:t xml:space="preserve"> </w:t>
      </w:r>
      <w:r>
        <w:rPr>
          <w:rFonts w:ascii="Tahoma" w:hAnsi="Tahoma" w:cs="Tahoma"/>
          <w:sz w:val="22"/>
          <w:szCs w:val="22"/>
          <w:lang w:val="es-PE"/>
        </w:rPr>
        <w:t>la descalificación de su propuesta técnica, así como del acto de otorgamiento de la Buena Pro a favor d</w:t>
      </w:r>
      <w:r w:rsidRPr="007E0F4C">
        <w:rPr>
          <w:rFonts w:ascii="Tahoma" w:hAnsi="Tahoma" w:cs="Tahoma"/>
          <w:sz w:val="22"/>
          <w:szCs w:val="22"/>
          <w:lang w:val="es-PE"/>
        </w:rPr>
        <w:t>e</w:t>
      </w:r>
      <w:r>
        <w:rPr>
          <w:rFonts w:ascii="Tahoma" w:hAnsi="Tahoma" w:cs="Tahoma"/>
          <w:sz w:val="22"/>
          <w:szCs w:val="22"/>
          <w:lang w:val="es-PE"/>
        </w:rPr>
        <w:t xml:space="preserve"> </w:t>
      </w:r>
      <w:r w:rsidRPr="007E0F4C">
        <w:rPr>
          <w:rFonts w:ascii="Tahoma" w:hAnsi="Tahoma" w:cs="Tahoma"/>
          <w:sz w:val="22"/>
          <w:szCs w:val="22"/>
          <w:lang w:val="es-PE"/>
        </w:rPr>
        <w:t>l</w:t>
      </w:r>
      <w:r>
        <w:rPr>
          <w:rFonts w:ascii="Tahoma" w:hAnsi="Tahoma" w:cs="Tahoma"/>
          <w:sz w:val="22"/>
          <w:szCs w:val="22"/>
          <w:lang w:val="es-PE"/>
        </w:rPr>
        <w:t>a</w:t>
      </w:r>
      <w:r w:rsidRPr="007E0F4C">
        <w:rPr>
          <w:rFonts w:ascii="Tahoma" w:hAnsi="Tahoma" w:cs="Tahoma"/>
          <w:sz w:val="22"/>
          <w:szCs w:val="22"/>
          <w:lang w:val="es-PE"/>
        </w:rPr>
        <w:t xml:space="preserve"> Adjudicatario</w:t>
      </w:r>
      <w:r w:rsidRPr="002C1945">
        <w:rPr>
          <w:rFonts w:ascii="Tahoma" w:hAnsi="Tahoma" w:cs="Tahoma"/>
          <w:sz w:val="22"/>
          <w:szCs w:val="22"/>
        </w:rPr>
        <w:t xml:space="preserve"> de la </w:t>
      </w:r>
      <w:r w:rsidRPr="007E0F4C">
        <w:rPr>
          <w:rFonts w:ascii="Tahoma" w:hAnsi="Tahoma" w:cs="Tahoma"/>
          <w:sz w:val="22"/>
          <w:szCs w:val="22"/>
        </w:rPr>
        <w:t>Licit</w:t>
      </w:r>
      <w:r>
        <w:rPr>
          <w:rFonts w:ascii="Tahoma" w:hAnsi="Tahoma" w:cs="Tahoma"/>
          <w:sz w:val="22"/>
          <w:szCs w:val="22"/>
        </w:rPr>
        <w:t>ación Pública Nº 1095L00011</w:t>
      </w:r>
      <w:r w:rsidRPr="002C1945">
        <w:rPr>
          <w:rFonts w:ascii="Tahoma" w:hAnsi="Tahoma" w:cs="Tahoma"/>
          <w:sz w:val="22"/>
          <w:szCs w:val="22"/>
        </w:rPr>
        <w:t>, para la “</w:t>
      </w:r>
      <w:r w:rsidRPr="007E0F4C">
        <w:rPr>
          <w:rFonts w:ascii="Tahoma" w:hAnsi="Tahoma" w:cs="Tahoma"/>
          <w:sz w:val="22"/>
          <w:szCs w:val="22"/>
        </w:rPr>
        <w:t>Adquisición de</w:t>
      </w:r>
      <w:r>
        <w:rPr>
          <w:rFonts w:ascii="Tahoma" w:hAnsi="Tahoma" w:cs="Tahoma"/>
          <w:sz w:val="22"/>
          <w:szCs w:val="22"/>
        </w:rPr>
        <w:t>l Sistema Diálisis Peritoneal Automatizado (DIPAC)</w:t>
      </w:r>
      <w:r w:rsidRPr="007E0F4C">
        <w:rPr>
          <w:rFonts w:ascii="Tahoma" w:hAnsi="Tahoma" w:cs="Tahoma"/>
          <w:sz w:val="22"/>
          <w:szCs w:val="22"/>
        </w:rPr>
        <w:t>”</w:t>
      </w:r>
      <w:r w:rsidRPr="002C1945">
        <w:rPr>
          <w:rFonts w:ascii="Tahoma" w:hAnsi="Tahoma" w:cs="Tahoma"/>
          <w:sz w:val="22"/>
          <w:szCs w:val="22"/>
        </w:rPr>
        <w:t>.</w:t>
      </w:r>
    </w:p>
    <w:p w:rsidR="002E78D8" w:rsidRDefault="002E78D8" w:rsidP="002E78D8">
      <w:pPr>
        <w:tabs>
          <w:tab w:val="left" w:pos="567"/>
        </w:tabs>
        <w:autoSpaceDE w:val="0"/>
        <w:autoSpaceDN w:val="0"/>
        <w:adjustRightInd w:val="0"/>
        <w:ind w:left="567"/>
        <w:jc w:val="both"/>
        <w:rPr>
          <w:rFonts w:ascii="Tahoma" w:hAnsi="Tahoma" w:cs="Tahoma"/>
          <w:sz w:val="22"/>
          <w:szCs w:val="22"/>
        </w:rPr>
      </w:pPr>
    </w:p>
    <w:p w:rsidR="002E78D8" w:rsidRPr="00AC53D5" w:rsidRDefault="002E78D8" w:rsidP="002E78D8">
      <w:pPr>
        <w:pStyle w:val="Prrafodelista"/>
        <w:ind w:left="567"/>
        <w:jc w:val="both"/>
        <w:rPr>
          <w:rFonts w:ascii="Tahoma" w:hAnsi="Tahoma" w:cs="Tahoma"/>
          <w:b/>
          <w:sz w:val="22"/>
          <w:szCs w:val="22"/>
        </w:rPr>
      </w:pPr>
      <w:r w:rsidRPr="00AC53D5">
        <w:rPr>
          <w:rFonts w:ascii="Tahoma" w:hAnsi="Tahoma" w:cs="Tahoma"/>
          <w:b/>
          <w:sz w:val="22"/>
          <w:szCs w:val="22"/>
        </w:rPr>
        <w:t>De la procedencia del recurso</w:t>
      </w:r>
    </w:p>
    <w:p w:rsidR="002E78D8" w:rsidRDefault="002E78D8" w:rsidP="002E78D8">
      <w:pPr>
        <w:pStyle w:val="Prrafodelista"/>
        <w:ind w:left="0"/>
        <w:jc w:val="both"/>
        <w:rPr>
          <w:rFonts w:ascii="Tahoma" w:hAnsi="Tahoma" w:cs="Tahoma"/>
          <w:sz w:val="22"/>
          <w:szCs w:val="22"/>
        </w:rPr>
      </w:pPr>
    </w:p>
    <w:p w:rsidR="002E78D8" w:rsidRDefault="002E78D8" w:rsidP="002E78D8">
      <w:pPr>
        <w:numPr>
          <w:ilvl w:val="0"/>
          <w:numId w:val="1"/>
        </w:numPr>
        <w:tabs>
          <w:tab w:val="left" w:pos="567"/>
        </w:tabs>
        <w:autoSpaceDE w:val="0"/>
        <w:autoSpaceDN w:val="0"/>
        <w:adjustRightInd w:val="0"/>
        <w:ind w:left="567" w:hanging="567"/>
        <w:jc w:val="both"/>
        <w:rPr>
          <w:rFonts w:ascii="Tahoma" w:hAnsi="Tahoma" w:cs="Tahoma"/>
          <w:sz w:val="22"/>
          <w:szCs w:val="22"/>
        </w:rPr>
      </w:pPr>
      <w:r w:rsidRPr="00AE6048">
        <w:rPr>
          <w:rFonts w:ascii="Tahoma" w:hAnsi="Tahoma" w:cs="Tahoma"/>
          <w:sz w:val="22"/>
          <w:szCs w:val="22"/>
        </w:rPr>
        <w:t>Sobre el particular, debe tenerse en cuenta que el presente proceso de selección se llevó a cabo bajo la aplicación de la Ley de Contrataciones del Estado, aprobada por Decreto Legislativo Nº 1017 —en adelante, “la Ley”—, y su Reglamento, aprobado por Decreto Supremo Nº 184-2008-2008-EF —en adelante, “el Reglamento”—, por lo que tales normas resultan ser las aplicables.</w:t>
      </w:r>
    </w:p>
    <w:p w:rsidR="002E78D8" w:rsidRDefault="002E78D8" w:rsidP="002E78D8">
      <w:pPr>
        <w:tabs>
          <w:tab w:val="left" w:pos="567"/>
        </w:tabs>
        <w:autoSpaceDE w:val="0"/>
        <w:autoSpaceDN w:val="0"/>
        <w:adjustRightInd w:val="0"/>
        <w:ind w:left="567"/>
        <w:jc w:val="both"/>
        <w:rPr>
          <w:rFonts w:ascii="Tahoma" w:hAnsi="Tahoma" w:cs="Tahoma"/>
          <w:sz w:val="22"/>
          <w:szCs w:val="22"/>
        </w:rPr>
      </w:pPr>
    </w:p>
    <w:p w:rsidR="002E78D8" w:rsidRDefault="002E78D8" w:rsidP="002E78D8">
      <w:pPr>
        <w:numPr>
          <w:ilvl w:val="0"/>
          <w:numId w:val="1"/>
        </w:numPr>
        <w:tabs>
          <w:tab w:val="left" w:pos="567"/>
        </w:tabs>
        <w:autoSpaceDE w:val="0"/>
        <w:autoSpaceDN w:val="0"/>
        <w:adjustRightInd w:val="0"/>
        <w:ind w:left="567" w:hanging="567"/>
        <w:jc w:val="both"/>
        <w:rPr>
          <w:rFonts w:ascii="Tahoma" w:hAnsi="Tahoma" w:cs="Tahoma"/>
          <w:sz w:val="22"/>
          <w:szCs w:val="22"/>
        </w:rPr>
      </w:pPr>
      <w:r w:rsidRPr="00AE6048">
        <w:rPr>
          <w:rFonts w:ascii="Tahoma" w:hAnsi="Tahoma" w:cs="Tahoma"/>
          <w:sz w:val="22"/>
          <w:szCs w:val="22"/>
        </w:rPr>
        <w:t>El artículo 53º de la Ley establece que el recurso de apelación sólo podrá interponerse luego de otorgada la buena pro. Asimismo dispone que el recurso de apelación será conocido y resuelto por el Titular de la Entidad siempre y cuando el valor referencial del proceso no supere las seiscientas (600) UIT; puesto que en caso contrario, éstos serán resueltos por el Tribunal de Contrataciones del Estado.</w:t>
      </w:r>
    </w:p>
    <w:p w:rsidR="002E78D8" w:rsidRDefault="002E78D8" w:rsidP="002E78D8">
      <w:pPr>
        <w:pStyle w:val="Prrafodelista"/>
        <w:rPr>
          <w:rFonts w:ascii="Tahoma" w:hAnsi="Tahoma" w:cs="Tahoma"/>
          <w:sz w:val="22"/>
          <w:szCs w:val="22"/>
        </w:rPr>
      </w:pPr>
    </w:p>
    <w:p w:rsidR="002E78D8" w:rsidRDefault="002E78D8" w:rsidP="002E78D8">
      <w:pPr>
        <w:numPr>
          <w:ilvl w:val="0"/>
          <w:numId w:val="1"/>
        </w:numPr>
        <w:tabs>
          <w:tab w:val="left" w:pos="567"/>
        </w:tabs>
        <w:autoSpaceDE w:val="0"/>
        <w:autoSpaceDN w:val="0"/>
        <w:adjustRightInd w:val="0"/>
        <w:ind w:left="567" w:hanging="567"/>
        <w:jc w:val="both"/>
        <w:rPr>
          <w:rFonts w:ascii="Tahoma" w:hAnsi="Tahoma" w:cs="Tahoma"/>
          <w:sz w:val="22"/>
          <w:szCs w:val="22"/>
        </w:rPr>
      </w:pPr>
      <w:r w:rsidRPr="00AE6048">
        <w:rPr>
          <w:rFonts w:ascii="Tahoma" w:hAnsi="Tahoma" w:cs="Tahoma"/>
          <w:sz w:val="22"/>
          <w:szCs w:val="22"/>
        </w:rPr>
        <w:t>En esa misma línea, el artículo 104º del Reglamento ha dispuesto que con independencia del valor referencial del proceso de selección, los actos emitidos por el titular de la Entidad que declaren la nulidad del oficio o cancelen el proceso, podrán impugnarse ante el Tribunal.</w:t>
      </w:r>
    </w:p>
    <w:p w:rsidR="002E78D8" w:rsidRDefault="002E78D8" w:rsidP="002E78D8">
      <w:pPr>
        <w:pStyle w:val="Prrafodelista"/>
        <w:rPr>
          <w:rFonts w:ascii="Tahoma" w:hAnsi="Tahoma" w:cs="Tahoma"/>
          <w:sz w:val="22"/>
          <w:szCs w:val="22"/>
        </w:rPr>
      </w:pPr>
    </w:p>
    <w:p w:rsidR="002E78D8" w:rsidRDefault="002E78D8" w:rsidP="002E78D8">
      <w:pPr>
        <w:numPr>
          <w:ilvl w:val="0"/>
          <w:numId w:val="1"/>
        </w:numPr>
        <w:tabs>
          <w:tab w:val="left" w:pos="567"/>
        </w:tabs>
        <w:autoSpaceDE w:val="0"/>
        <w:autoSpaceDN w:val="0"/>
        <w:adjustRightInd w:val="0"/>
        <w:ind w:left="567" w:hanging="567"/>
        <w:jc w:val="both"/>
        <w:rPr>
          <w:rFonts w:ascii="Tahoma" w:hAnsi="Tahoma" w:cs="Tahoma"/>
          <w:sz w:val="22"/>
          <w:szCs w:val="22"/>
        </w:rPr>
      </w:pPr>
      <w:r w:rsidRPr="00F73658">
        <w:rPr>
          <w:rFonts w:ascii="Tahoma" w:hAnsi="Tahoma" w:cs="Tahoma"/>
          <w:sz w:val="22"/>
          <w:szCs w:val="22"/>
        </w:rPr>
        <w:t>Del mismo modo, el artículo 107º del Reglamento dispone que el recurso de apelación contra el otorgamiento de la buena pro o contra los actos dictados con anterioridad a ella debe interponerse dentro de los ocho (8) días siguientes de haberse otorgado la buena pro. En el caso de adjudicaciones Directas y Adjudicaciones de Menor Cuantía, el plazo será de cinco (5) días hábiles. La apelación contra los actos distintos a los indicados anteriormente deberá interponerse dentro de los ocho (8) días hábiles siguientes de haberse tomado conocimiento del acto que se desea impugnar. En el caso de adjudicaciones Directas y Adjudicaciones de Menor Cuantía, el plazo será de cinco (05) días hábiles.</w:t>
      </w:r>
    </w:p>
    <w:p w:rsidR="002E78D8" w:rsidRDefault="002E78D8" w:rsidP="002E78D8">
      <w:pPr>
        <w:pStyle w:val="Prrafodelista"/>
        <w:rPr>
          <w:rFonts w:ascii="Tahoma" w:hAnsi="Tahoma" w:cs="Tahoma"/>
          <w:sz w:val="22"/>
          <w:szCs w:val="22"/>
        </w:rPr>
      </w:pPr>
    </w:p>
    <w:p w:rsidR="002E78D8" w:rsidRDefault="002E78D8" w:rsidP="002E78D8">
      <w:pPr>
        <w:numPr>
          <w:ilvl w:val="0"/>
          <w:numId w:val="1"/>
        </w:numPr>
        <w:tabs>
          <w:tab w:val="left" w:pos="567"/>
        </w:tabs>
        <w:autoSpaceDE w:val="0"/>
        <w:autoSpaceDN w:val="0"/>
        <w:adjustRightInd w:val="0"/>
        <w:ind w:left="567" w:hanging="567"/>
        <w:jc w:val="both"/>
        <w:rPr>
          <w:rFonts w:ascii="Tahoma" w:hAnsi="Tahoma" w:cs="Tahoma"/>
          <w:sz w:val="22"/>
          <w:szCs w:val="22"/>
        </w:rPr>
      </w:pPr>
      <w:r w:rsidRPr="001209C8">
        <w:rPr>
          <w:rFonts w:ascii="Tahoma" w:hAnsi="Tahoma" w:cs="Tahoma"/>
          <w:sz w:val="22"/>
          <w:szCs w:val="22"/>
        </w:rPr>
        <w:t xml:space="preserve">Asimismo, debe indicarse que el artículo 72º del Reglamento establece que el otorgamiento de la Buena Pro se realizará en acto público para todos los </w:t>
      </w:r>
      <w:r w:rsidRPr="001209C8">
        <w:rPr>
          <w:rFonts w:ascii="Tahoma" w:hAnsi="Tahoma" w:cs="Tahoma"/>
          <w:sz w:val="22"/>
          <w:szCs w:val="22"/>
        </w:rPr>
        <w:lastRenderedPageBreak/>
        <w:t xml:space="preserve">procesos de selección. Sin embargo, tratándose de Adjudicaciones Directas Selectivas y Adjudicaciones de Menor Cuantía, el otorgamiento de la Buena Pro podrá ser realizado en acto privado. </w:t>
      </w:r>
    </w:p>
    <w:p w:rsidR="002E78D8" w:rsidRPr="00AC53D5" w:rsidRDefault="002E78D8" w:rsidP="002E78D8">
      <w:pPr>
        <w:pStyle w:val="Prrafodelista"/>
        <w:ind w:left="0"/>
        <w:rPr>
          <w:rFonts w:ascii="Tahoma" w:hAnsi="Tahoma" w:cs="Tahoma"/>
          <w:sz w:val="22"/>
          <w:szCs w:val="22"/>
        </w:rPr>
      </w:pPr>
    </w:p>
    <w:p w:rsidR="002E78D8" w:rsidRPr="00AC53D5" w:rsidRDefault="002E78D8" w:rsidP="002E78D8">
      <w:pPr>
        <w:pStyle w:val="Prrafodelista"/>
        <w:ind w:left="567"/>
        <w:contextualSpacing/>
        <w:jc w:val="both"/>
        <w:rPr>
          <w:rFonts w:ascii="Tahoma" w:hAnsi="Tahoma" w:cs="Tahoma"/>
          <w:sz w:val="22"/>
          <w:szCs w:val="22"/>
        </w:rPr>
      </w:pPr>
      <w:r w:rsidRPr="00AC53D5">
        <w:rPr>
          <w:rFonts w:ascii="Tahoma" w:hAnsi="Tahoma" w:cs="Tahoma"/>
          <w:sz w:val="22"/>
          <w:szCs w:val="22"/>
        </w:rPr>
        <w:t>Por otro lado, el artículo 75º de dicho cuerpo legal señala que el otorgamiento de la Buena Pro en acto público se presumirá notificado a todos los postores en la misma fecha, oportunidad en la que se entregará a los postores copia del acta de otorgamiento de la Buena Pro y el cuadro comparativo, detallando los resultados en cada factor de evaluación; presunción que no admite prueba en contrario. Asimismo, establece que el otorgamiento de la Buena Pro en acto privado se publicará y se entenderá notificado a través del SEACE, el mismo día de su realización, bajo responsabilidad del Comité Especial u órgano encargado de conducir el proceso, debiendo incluir el acta de otorgamiento de la Buena Pro y el cuadro comparativo, detallando los resultados en cada factor de evaluación.</w:t>
      </w:r>
    </w:p>
    <w:p w:rsidR="002E78D8" w:rsidRDefault="002E78D8" w:rsidP="002E78D8">
      <w:pPr>
        <w:pStyle w:val="Prrafodelista"/>
        <w:rPr>
          <w:rFonts w:ascii="Tahoma" w:hAnsi="Tahoma" w:cs="Tahoma"/>
          <w:sz w:val="22"/>
          <w:szCs w:val="22"/>
        </w:rPr>
      </w:pPr>
    </w:p>
    <w:p w:rsidR="002E78D8" w:rsidRDefault="002E78D8" w:rsidP="002E78D8">
      <w:pPr>
        <w:numPr>
          <w:ilvl w:val="0"/>
          <w:numId w:val="1"/>
        </w:numPr>
        <w:tabs>
          <w:tab w:val="left" w:pos="567"/>
        </w:tabs>
        <w:autoSpaceDE w:val="0"/>
        <w:autoSpaceDN w:val="0"/>
        <w:adjustRightInd w:val="0"/>
        <w:ind w:left="567" w:hanging="567"/>
        <w:jc w:val="both"/>
        <w:rPr>
          <w:rFonts w:ascii="Tahoma" w:hAnsi="Tahoma" w:cs="Tahoma"/>
          <w:sz w:val="22"/>
          <w:szCs w:val="22"/>
        </w:rPr>
      </w:pPr>
      <w:r w:rsidRPr="001209C8">
        <w:rPr>
          <w:rFonts w:ascii="Tahoma" w:hAnsi="Tahoma" w:cs="Tahoma"/>
          <w:sz w:val="22"/>
          <w:szCs w:val="22"/>
        </w:rPr>
        <w:t>En el marco de lo indicado anteriormente, debe advertirse que el recurso de apelación fue presen</w:t>
      </w:r>
      <w:r>
        <w:rPr>
          <w:rFonts w:ascii="Tahoma" w:hAnsi="Tahoma" w:cs="Tahoma"/>
          <w:sz w:val="22"/>
          <w:szCs w:val="22"/>
        </w:rPr>
        <w:t>tado el 31 de enero del 2011</w:t>
      </w:r>
      <w:r w:rsidRPr="001209C8">
        <w:rPr>
          <w:rFonts w:ascii="Tahoma" w:hAnsi="Tahoma" w:cs="Tahoma"/>
          <w:sz w:val="22"/>
          <w:szCs w:val="22"/>
        </w:rPr>
        <w:t xml:space="preserve">, </w:t>
      </w:r>
      <w:r>
        <w:rPr>
          <w:rFonts w:ascii="Tahoma" w:hAnsi="Tahoma" w:cs="Tahoma"/>
          <w:sz w:val="22"/>
          <w:szCs w:val="22"/>
        </w:rPr>
        <w:t>es decir dentro de los ocho (8</w:t>
      </w:r>
      <w:r w:rsidRPr="001209C8">
        <w:rPr>
          <w:rFonts w:ascii="Tahoma" w:hAnsi="Tahoma" w:cs="Tahoma"/>
          <w:sz w:val="22"/>
          <w:szCs w:val="22"/>
        </w:rPr>
        <w:t>) días hábiles de haber tenido conocimiento del acto que desea impugnar, es decir a la realización del acto de evaluación y calificación de propues</w:t>
      </w:r>
      <w:r>
        <w:rPr>
          <w:rFonts w:ascii="Tahoma" w:hAnsi="Tahoma" w:cs="Tahoma"/>
          <w:sz w:val="22"/>
          <w:szCs w:val="22"/>
        </w:rPr>
        <w:t>ta y otorgamiento de la Buena Pro, realizado el 19 de enero</w:t>
      </w:r>
      <w:r w:rsidRPr="001209C8">
        <w:rPr>
          <w:rFonts w:ascii="Tahoma" w:hAnsi="Tahoma" w:cs="Tahoma"/>
          <w:sz w:val="22"/>
          <w:szCs w:val="22"/>
        </w:rPr>
        <w:t xml:space="preserve"> del 20</w:t>
      </w:r>
      <w:r>
        <w:rPr>
          <w:rFonts w:ascii="Tahoma" w:hAnsi="Tahoma" w:cs="Tahoma"/>
          <w:sz w:val="22"/>
          <w:szCs w:val="22"/>
        </w:rPr>
        <w:t>11; p</w:t>
      </w:r>
      <w:r w:rsidRPr="001209C8">
        <w:rPr>
          <w:rFonts w:ascii="Tahoma" w:hAnsi="Tahoma" w:cs="Tahoma"/>
          <w:sz w:val="22"/>
          <w:szCs w:val="22"/>
        </w:rPr>
        <w:t>or</w:t>
      </w:r>
      <w:r>
        <w:rPr>
          <w:rFonts w:ascii="Tahoma" w:hAnsi="Tahoma" w:cs="Tahoma"/>
          <w:sz w:val="22"/>
          <w:szCs w:val="22"/>
        </w:rPr>
        <w:t xml:space="preserve"> lo</w:t>
      </w:r>
      <w:r w:rsidRPr="001209C8">
        <w:rPr>
          <w:rFonts w:ascii="Tahoma" w:hAnsi="Tahoma" w:cs="Tahoma"/>
          <w:sz w:val="22"/>
          <w:szCs w:val="22"/>
        </w:rPr>
        <w:t xml:space="preserve"> tanto, la </w:t>
      </w:r>
      <w:r>
        <w:rPr>
          <w:rFonts w:ascii="Tahoma" w:hAnsi="Tahoma" w:cs="Tahoma"/>
          <w:sz w:val="22"/>
          <w:szCs w:val="22"/>
        </w:rPr>
        <w:t xml:space="preserve">presente </w:t>
      </w:r>
      <w:r w:rsidRPr="001209C8">
        <w:rPr>
          <w:rFonts w:ascii="Tahoma" w:hAnsi="Tahoma" w:cs="Tahoma"/>
          <w:sz w:val="22"/>
          <w:szCs w:val="22"/>
        </w:rPr>
        <w:t>causa resulta procedente.</w:t>
      </w:r>
    </w:p>
    <w:p w:rsidR="002E78D8" w:rsidRDefault="002E78D8" w:rsidP="002E78D8">
      <w:pPr>
        <w:tabs>
          <w:tab w:val="left" w:pos="567"/>
        </w:tabs>
        <w:autoSpaceDE w:val="0"/>
        <w:autoSpaceDN w:val="0"/>
        <w:adjustRightInd w:val="0"/>
        <w:ind w:left="567"/>
        <w:jc w:val="both"/>
        <w:rPr>
          <w:rFonts w:ascii="Tahoma" w:hAnsi="Tahoma" w:cs="Tahoma"/>
          <w:sz w:val="22"/>
          <w:szCs w:val="22"/>
        </w:rPr>
      </w:pPr>
    </w:p>
    <w:p w:rsidR="002E78D8" w:rsidRPr="00132D54" w:rsidRDefault="002E78D8" w:rsidP="002E78D8">
      <w:pPr>
        <w:pStyle w:val="Prrafodelista"/>
        <w:ind w:left="567"/>
        <w:jc w:val="both"/>
        <w:rPr>
          <w:rFonts w:ascii="Tahoma" w:hAnsi="Tahoma" w:cs="Tahoma"/>
          <w:b/>
          <w:sz w:val="22"/>
          <w:szCs w:val="22"/>
        </w:rPr>
      </w:pPr>
      <w:r w:rsidRPr="00132D54">
        <w:rPr>
          <w:rFonts w:ascii="Tahoma" w:hAnsi="Tahoma" w:cs="Tahoma"/>
          <w:b/>
          <w:sz w:val="22"/>
          <w:szCs w:val="22"/>
        </w:rPr>
        <w:t>SOBRE LA NULIDAD DEL ACTO ADMNISTRATIVO DE OTORGAMIENTO DE LA BUENA PRO</w:t>
      </w:r>
    </w:p>
    <w:p w:rsidR="002E78D8" w:rsidRDefault="002E78D8" w:rsidP="002E78D8">
      <w:pPr>
        <w:pStyle w:val="Prrafodelista"/>
        <w:ind w:left="567"/>
        <w:jc w:val="both"/>
        <w:rPr>
          <w:rFonts w:ascii="Tahoma" w:hAnsi="Tahoma" w:cs="Tahoma"/>
          <w:sz w:val="22"/>
          <w:szCs w:val="22"/>
        </w:rPr>
      </w:pPr>
    </w:p>
    <w:p w:rsidR="002E78D8" w:rsidRDefault="002E78D8" w:rsidP="002E78D8">
      <w:pPr>
        <w:numPr>
          <w:ilvl w:val="0"/>
          <w:numId w:val="1"/>
        </w:numPr>
        <w:tabs>
          <w:tab w:val="left" w:pos="567"/>
        </w:tabs>
        <w:autoSpaceDE w:val="0"/>
        <w:autoSpaceDN w:val="0"/>
        <w:adjustRightInd w:val="0"/>
        <w:ind w:left="567" w:hanging="567"/>
        <w:jc w:val="both"/>
        <w:rPr>
          <w:rFonts w:ascii="Tahoma" w:hAnsi="Tahoma" w:cs="Tahoma"/>
          <w:sz w:val="22"/>
          <w:szCs w:val="22"/>
        </w:rPr>
      </w:pPr>
      <w:r w:rsidRPr="007C0E93">
        <w:rPr>
          <w:rFonts w:ascii="Tahoma" w:hAnsi="Tahoma" w:cs="Tahoma"/>
          <w:sz w:val="22"/>
          <w:szCs w:val="22"/>
        </w:rPr>
        <w:t>El Impugnante solicitó la nulidad del acto de calificación de propuestas técnicas, apertura de sobres económicos y otorgamiento de la Buena Pro, al indicar que carece de motivación, toda vez que no explica las razones o fundamentos por los cuales su propuesta técnica fue descalificada y no obtuvo puntaje en los factores de “Experiencia del Postor” y “Cumplimiento de la Prestación”.</w:t>
      </w:r>
    </w:p>
    <w:p w:rsidR="002E78D8" w:rsidRDefault="002E78D8" w:rsidP="002E78D8">
      <w:pPr>
        <w:tabs>
          <w:tab w:val="left" w:pos="567"/>
        </w:tabs>
        <w:autoSpaceDE w:val="0"/>
        <w:autoSpaceDN w:val="0"/>
        <w:adjustRightInd w:val="0"/>
        <w:ind w:left="567"/>
        <w:jc w:val="both"/>
        <w:rPr>
          <w:rFonts w:ascii="Tahoma" w:hAnsi="Tahoma" w:cs="Tahoma"/>
          <w:sz w:val="22"/>
          <w:szCs w:val="22"/>
        </w:rPr>
      </w:pPr>
    </w:p>
    <w:p w:rsidR="002E78D8" w:rsidRDefault="002E78D8" w:rsidP="002E78D8">
      <w:pPr>
        <w:autoSpaceDE w:val="0"/>
        <w:autoSpaceDN w:val="0"/>
        <w:adjustRightInd w:val="0"/>
        <w:ind w:left="567"/>
        <w:jc w:val="both"/>
        <w:rPr>
          <w:rFonts w:ascii="Tahoma" w:hAnsi="Tahoma" w:cs="Tahoma"/>
          <w:sz w:val="22"/>
          <w:szCs w:val="22"/>
        </w:rPr>
      </w:pPr>
      <w:r>
        <w:rPr>
          <w:rFonts w:ascii="Tahoma" w:hAnsi="Tahoma" w:cs="Tahoma"/>
          <w:sz w:val="22"/>
          <w:szCs w:val="22"/>
        </w:rPr>
        <w:t>No obstante ello, el Adjudicatario</w:t>
      </w:r>
      <w:r w:rsidRPr="00135A36">
        <w:rPr>
          <w:rFonts w:ascii="Tahoma" w:hAnsi="Tahoma" w:cs="Tahoma"/>
          <w:sz w:val="22"/>
          <w:szCs w:val="22"/>
        </w:rPr>
        <w:t xml:space="preserve"> señaló </w:t>
      </w:r>
      <w:r>
        <w:rPr>
          <w:rFonts w:ascii="Tahoma" w:hAnsi="Tahoma" w:cs="Tahoma"/>
          <w:sz w:val="22"/>
          <w:szCs w:val="22"/>
        </w:rPr>
        <w:t>e</w:t>
      </w:r>
      <w:r w:rsidRPr="00135A36">
        <w:rPr>
          <w:rFonts w:ascii="Tahoma" w:hAnsi="Tahoma" w:cs="Tahoma"/>
          <w:sz w:val="22"/>
          <w:szCs w:val="22"/>
        </w:rPr>
        <w:t xml:space="preserve">n aplicación </w:t>
      </w:r>
      <w:r>
        <w:rPr>
          <w:rFonts w:ascii="Tahoma" w:hAnsi="Tahoma" w:cs="Tahoma"/>
          <w:sz w:val="22"/>
          <w:szCs w:val="22"/>
        </w:rPr>
        <w:t xml:space="preserve">del artículo 43 del Reglamento </w:t>
      </w:r>
      <w:r w:rsidRPr="00135A36">
        <w:rPr>
          <w:rFonts w:ascii="Tahoma" w:hAnsi="Tahoma" w:cs="Tahoma"/>
          <w:sz w:val="22"/>
          <w:szCs w:val="22"/>
        </w:rPr>
        <w:t>y del numeral 1.4 de la Bases Integradas, el Comité Especial cumpli</w:t>
      </w:r>
      <w:r>
        <w:rPr>
          <w:rFonts w:ascii="Tahoma" w:hAnsi="Tahoma" w:cs="Tahoma"/>
          <w:sz w:val="22"/>
          <w:szCs w:val="22"/>
        </w:rPr>
        <w:t>ó con informar a los postores</w:t>
      </w:r>
      <w:r w:rsidRPr="00135A36">
        <w:rPr>
          <w:rFonts w:ascii="Tahoma" w:hAnsi="Tahoma" w:cs="Tahoma"/>
          <w:sz w:val="22"/>
          <w:szCs w:val="22"/>
        </w:rPr>
        <w:t xml:space="preserve"> los resultados de su evaluación, preparando un cuadro comparativo en el que se ind</w:t>
      </w:r>
      <w:r>
        <w:rPr>
          <w:rFonts w:ascii="Tahoma" w:hAnsi="Tahoma" w:cs="Tahoma"/>
          <w:sz w:val="22"/>
          <w:szCs w:val="22"/>
        </w:rPr>
        <w:t>icó que el Impugnante ha obtenido 0.00 en la experiencia del postor y en el cumplimiento de la prestación; por lo tanto, de una simple lectura de las Bases, el Impugnante podía conocer adecuadamente las razones por las que ha sido descalificado.</w:t>
      </w:r>
    </w:p>
    <w:p w:rsidR="002E78D8" w:rsidRDefault="002E78D8" w:rsidP="002E78D8">
      <w:pPr>
        <w:tabs>
          <w:tab w:val="left" w:pos="567"/>
        </w:tabs>
        <w:autoSpaceDE w:val="0"/>
        <w:autoSpaceDN w:val="0"/>
        <w:adjustRightInd w:val="0"/>
        <w:ind w:left="567"/>
        <w:jc w:val="both"/>
        <w:rPr>
          <w:rFonts w:ascii="Tahoma" w:hAnsi="Tahoma" w:cs="Tahoma"/>
          <w:sz w:val="22"/>
          <w:szCs w:val="22"/>
        </w:rPr>
      </w:pPr>
    </w:p>
    <w:p w:rsidR="002E78D8" w:rsidRPr="002918D2" w:rsidRDefault="002E78D8" w:rsidP="002E78D8">
      <w:pPr>
        <w:tabs>
          <w:tab w:val="left" w:pos="567"/>
        </w:tabs>
        <w:autoSpaceDE w:val="0"/>
        <w:autoSpaceDN w:val="0"/>
        <w:adjustRightInd w:val="0"/>
        <w:ind w:left="567"/>
        <w:jc w:val="both"/>
        <w:rPr>
          <w:rFonts w:ascii="Tahoma" w:hAnsi="Tahoma" w:cs="Tahoma"/>
          <w:sz w:val="22"/>
          <w:szCs w:val="22"/>
        </w:rPr>
      </w:pPr>
      <w:r>
        <w:rPr>
          <w:rFonts w:ascii="Tahoma" w:hAnsi="Tahoma" w:cs="Tahoma"/>
          <w:sz w:val="22"/>
          <w:szCs w:val="22"/>
        </w:rPr>
        <w:t xml:space="preserve">Asimismo, la Entidad señaló que en el Acta de Presencia Notarial de la Licitación Pública N° 001-2010-ESSALUD/CNSR, respecto de la Lectura de Calificación de Propuestas Técnicas, Apertura de Sobres Económicos y Otorgamiento de la Buena Pro de fecha 19 de enero de 2011, se detalló el puntaje que se le ha otorgado a los postores en cada factor de evaluación, advirtiéndose en lo que respecta a la propuesta del Impugnante, en los factores “Evaluación al Postor” y </w:t>
      </w:r>
      <w:r>
        <w:rPr>
          <w:rFonts w:ascii="Tahoma" w:hAnsi="Tahoma" w:cs="Tahoma"/>
          <w:sz w:val="22"/>
          <w:szCs w:val="22"/>
        </w:rPr>
        <w:lastRenderedPageBreak/>
        <w:t>“Cumplimiento de la Prestación” “0.00” puntos, siendo la Condición de la propuesta: Descalificada, seguidamente se señaló “El postor LABORATORIOS BAXTER DEL PERÚ S.A., no alcanzó el puntaje mínimo requerido de sesenta puntos, por lo que su propuesta técnica, fue descalificada, negándose la representante en este acto de dicha empresa a recibir la devolución de su sobre N° 2 – Propuesta Económico, quedando el sobre cerrado en poder del Comité Especial”; por lo tanto, en un primer momento se detallaron los resultados de calificación de cada factor de evaluación y se señaló la razón por la que la propuesta de la Impugnante fue descalificada, de conformidad con la normativa de contrataciones, por lo que carece de sustento la nulidad invocada.</w:t>
      </w:r>
    </w:p>
    <w:p w:rsidR="002E78D8" w:rsidRDefault="002E78D8" w:rsidP="002E78D8">
      <w:pPr>
        <w:tabs>
          <w:tab w:val="left" w:pos="567"/>
        </w:tabs>
        <w:autoSpaceDE w:val="0"/>
        <w:autoSpaceDN w:val="0"/>
        <w:adjustRightInd w:val="0"/>
        <w:ind w:left="567"/>
        <w:jc w:val="both"/>
        <w:rPr>
          <w:rFonts w:ascii="Tahoma" w:hAnsi="Tahoma" w:cs="Tahoma"/>
          <w:sz w:val="22"/>
          <w:szCs w:val="22"/>
        </w:rPr>
      </w:pPr>
    </w:p>
    <w:p w:rsidR="002E78D8" w:rsidRDefault="002E78D8" w:rsidP="002E78D8">
      <w:pPr>
        <w:numPr>
          <w:ilvl w:val="0"/>
          <w:numId w:val="1"/>
        </w:numPr>
        <w:tabs>
          <w:tab w:val="left" w:pos="567"/>
        </w:tabs>
        <w:autoSpaceDE w:val="0"/>
        <w:autoSpaceDN w:val="0"/>
        <w:adjustRightInd w:val="0"/>
        <w:ind w:left="567" w:hanging="567"/>
        <w:jc w:val="both"/>
        <w:rPr>
          <w:rFonts w:ascii="Tahoma" w:hAnsi="Tahoma" w:cs="Tahoma"/>
          <w:sz w:val="22"/>
          <w:szCs w:val="22"/>
        </w:rPr>
      </w:pPr>
      <w:r>
        <w:rPr>
          <w:rFonts w:ascii="Tahoma" w:hAnsi="Tahoma" w:cs="Tahoma"/>
          <w:sz w:val="22"/>
          <w:szCs w:val="22"/>
        </w:rPr>
        <w:t>Cabe precisar que la nulidad de los</w:t>
      </w:r>
      <w:r w:rsidRPr="007C0E93">
        <w:rPr>
          <w:rFonts w:ascii="Tahoma" w:hAnsi="Tahoma" w:cs="Tahoma"/>
          <w:sz w:val="22"/>
          <w:szCs w:val="22"/>
        </w:rPr>
        <w:t xml:space="preserve"> acto</w:t>
      </w:r>
      <w:r>
        <w:rPr>
          <w:rFonts w:ascii="Tahoma" w:hAnsi="Tahoma" w:cs="Tahoma"/>
          <w:sz w:val="22"/>
          <w:szCs w:val="22"/>
        </w:rPr>
        <w:t>s</w:t>
      </w:r>
      <w:r w:rsidRPr="007C0E93">
        <w:rPr>
          <w:rFonts w:ascii="Tahoma" w:hAnsi="Tahoma" w:cs="Tahoma"/>
          <w:sz w:val="22"/>
          <w:szCs w:val="22"/>
        </w:rPr>
        <w:t xml:space="preserve"> administrativo</w:t>
      </w:r>
      <w:r>
        <w:rPr>
          <w:rFonts w:ascii="Tahoma" w:hAnsi="Tahoma" w:cs="Tahoma"/>
          <w:sz w:val="22"/>
          <w:szCs w:val="22"/>
        </w:rPr>
        <w:t xml:space="preserve">s, se </w:t>
      </w:r>
      <w:r w:rsidRPr="007C0E93">
        <w:rPr>
          <w:rFonts w:ascii="Tahoma" w:hAnsi="Tahoma" w:cs="Tahoma"/>
          <w:sz w:val="22"/>
          <w:szCs w:val="22"/>
        </w:rPr>
        <w:t>genera</w:t>
      </w:r>
      <w:r>
        <w:rPr>
          <w:rFonts w:ascii="Tahoma" w:hAnsi="Tahoma" w:cs="Tahoma"/>
          <w:sz w:val="22"/>
          <w:szCs w:val="22"/>
        </w:rPr>
        <w:t>, entre otros supuestos, por</w:t>
      </w:r>
      <w:r w:rsidRPr="007C0E93">
        <w:rPr>
          <w:rFonts w:ascii="Tahoma" w:hAnsi="Tahoma" w:cs="Tahoma"/>
          <w:sz w:val="22"/>
          <w:szCs w:val="22"/>
        </w:rPr>
        <w:t xml:space="preserve"> vicio</w:t>
      </w:r>
      <w:r>
        <w:rPr>
          <w:rFonts w:ascii="Tahoma" w:hAnsi="Tahoma" w:cs="Tahoma"/>
          <w:sz w:val="22"/>
          <w:szCs w:val="22"/>
        </w:rPr>
        <w:t>s</w:t>
      </w:r>
      <w:r w:rsidRPr="007C0E93">
        <w:rPr>
          <w:rFonts w:ascii="Tahoma" w:hAnsi="Tahoma" w:cs="Tahoma"/>
          <w:sz w:val="22"/>
          <w:szCs w:val="22"/>
        </w:rPr>
        <w:t xml:space="preserve"> en los elementos constitutivos del acto, los mismos que están establecidos en el artículo 3 de la Ley del Procedimiento Administrativo General</w:t>
      </w:r>
      <w:r w:rsidRPr="00A042FC">
        <w:rPr>
          <w:rStyle w:val="Refdenotaalpie"/>
          <w:rFonts w:ascii="Tahoma" w:hAnsi="Tahoma" w:cs="Tahoma"/>
          <w:sz w:val="22"/>
          <w:szCs w:val="22"/>
        </w:rPr>
        <w:footnoteReference w:id="2"/>
      </w:r>
      <w:r w:rsidRPr="007C0E93">
        <w:rPr>
          <w:rFonts w:ascii="Tahoma" w:hAnsi="Tahoma" w:cs="Tahoma"/>
          <w:sz w:val="22"/>
          <w:szCs w:val="22"/>
        </w:rPr>
        <w:t xml:space="preserve">, Ley </w:t>
      </w:r>
      <w:r>
        <w:rPr>
          <w:rFonts w:ascii="Tahoma" w:hAnsi="Tahoma" w:cs="Tahoma"/>
          <w:sz w:val="22"/>
          <w:szCs w:val="22"/>
        </w:rPr>
        <w:t xml:space="preserve">Nº </w:t>
      </w:r>
      <w:r w:rsidRPr="007C0E93">
        <w:rPr>
          <w:rFonts w:ascii="Tahoma" w:hAnsi="Tahoma" w:cs="Tahoma"/>
          <w:sz w:val="22"/>
          <w:szCs w:val="22"/>
        </w:rPr>
        <w:t>2744</w:t>
      </w:r>
      <w:r>
        <w:rPr>
          <w:rFonts w:ascii="Tahoma" w:hAnsi="Tahoma" w:cs="Tahoma"/>
          <w:sz w:val="22"/>
          <w:szCs w:val="22"/>
        </w:rPr>
        <w:t>4; entre los que se encuentra la motivación, que está referida a que el acto administrativo debe estar debidamente motivado en proporción al contenido y conforme al ordenamiento jurídico.</w:t>
      </w:r>
    </w:p>
    <w:p w:rsidR="002E78D8" w:rsidRDefault="002E78D8" w:rsidP="002E78D8">
      <w:pPr>
        <w:tabs>
          <w:tab w:val="left" w:pos="567"/>
        </w:tabs>
        <w:autoSpaceDE w:val="0"/>
        <w:autoSpaceDN w:val="0"/>
        <w:adjustRightInd w:val="0"/>
        <w:ind w:left="567"/>
        <w:jc w:val="both"/>
        <w:rPr>
          <w:rFonts w:ascii="Tahoma" w:hAnsi="Tahoma" w:cs="Tahoma"/>
          <w:sz w:val="22"/>
          <w:szCs w:val="22"/>
        </w:rPr>
      </w:pPr>
    </w:p>
    <w:p w:rsidR="002E78D8" w:rsidRDefault="002E78D8" w:rsidP="002E78D8">
      <w:pPr>
        <w:numPr>
          <w:ilvl w:val="0"/>
          <w:numId w:val="1"/>
        </w:numPr>
        <w:tabs>
          <w:tab w:val="left" w:pos="567"/>
        </w:tabs>
        <w:autoSpaceDE w:val="0"/>
        <w:autoSpaceDN w:val="0"/>
        <w:adjustRightInd w:val="0"/>
        <w:ind w:left="567" w:hanging="567"/>
        <w:jc w:val="both"/>
        <w:rPr>
          <w:rFonts w:ascii="Tahoma" w:hAnsi="Tahoma" w:cs="Tahoma"/>
          <w:sz w:val="22"/>
          <w:szCs w:val="22"/>
        </w:rPr>
      </w:pPr>
      <w:r>
        <w:rPr>
          <w:rFonts w:ascii="Tahoma" w:hAnsi="Tahoma" w:cs="Tahoma"/>
          <w:sz w:val="22"/>
          <w:szCs w:val="22"/>
        </w:rPr>
        <w:t>Ahora bien, respecto a lo señalado anteriormente, el segundo párrafo del artículo 72 del Reglamento, establece que “</w:t>
      </w:r>
      <w:r w:rsidRPr="00EA2343">
        <w:rPr>
          <w:rFonts w:ascii="Tahoma" w:hAnsi="Tahoma" w:cs="Tahoma"/>
          <w:i/>
          <w:sz w:val="22"/>
          <w:szCs w:val="22"/>
        </w:rPr>
        <w:t xml:space="preserve">En la </w:t>
      </w:r>
      <w:r>
        <w:rPr>
          <w:rFonts w:ascii="Tahoma" w:hAnsi="Tahoma" w:cs="Tahoma"/>
          <w:i/>
          <w:sz w:val="22"/>
          <w:szCs w:val="22"/>
        </w:rPr>
        <w:t xml:space="preserve">fecha </w:t>
      </w:r>
      <w:r w:rsidRPr="00EA2343">
        <w:rPr>
          <w:rFonts w:ascii="Tahoma" w:hAnsi="Tahoma" w:cs="Tahoma"/>
          <w:i/>
          <w:sz w:val="22"/>
          <w:szCs w:val="22"/>
        </w:rPr>
        <w:t>señalada en las Bases, el Comité Especial procederá a otorgar la Buena Pro a la propuesta ganadora, dando a conocer los resultados del proceso de selección a través de un cuadro comparativo, en el que se consignará el orden de prelación y el puntaje técnico, económico y total obtenidos por cada uno de los postores</w:t>
      </w:r>
      <w:r>
        <w:rPr>
          <w:rFonts w:ascii="Tahoma" w:hAnsi="Tahoma" w:cs="Tahoma"/>
          <w:sz w:val="22"/>
          <w:szCs w:val="22"/>
        </w:rPr>
        <w:t>”.</w:t>
      </w:r>
    </w:p>
    <w:p w:rsidR="002E78D8" w:rsidRDefault="002E78D8" w:rsidP="002E78D8">
      <w:pPr>
        <w:pStyle w:val="Prrafodelista"/>
        <w:rPr>
          <w:rFonts w:ascii="Tahoma" w:hAnsi="Tahoma" w:cs="Tahoma"/>
          <w:sz w:val="22"/>
          <w:szCs w:val="22"/>
        </w:rPr>
      </w:pPr>
    </w:p>
    <w:p w:rsidR="002E78D8" w:rsidRDefault="002E78D8" w:rsidP="002E78D8">
      <w:pPr>
        <w:tabs>
          <w:tab w:val="left" w:pos="567"/>
        </w:tabs>
        <w:autoSpaceDE w:val="0"/>
        <w:autoSpaceDN w:val="0"/>
        <w:adjustRightInd w:val="0"/>
        <w:ind w:left="567"/>
        <w:jc w:val="both"/>
        <w:rPr>
          <w:rFonts w:ascii="Tahoma" w:hAnsi="Tahoma" w:cs="Tahoma"/>
          <w:sz w:val="22"/>
          <w:szCs w:val="22"/>
        </w:rPr>
      </w:pPr>
      <w:r>
        <w:rPr>
          <w:rFonts w:ascii="Tahoma" w:hAnsi="Tahoma" w:cs="Tahoma"/>
          <w:sz w:val="22"/>
          <w:szCs w:val="22"/>
        </w:rPr>
        <w:t>Así también, el artículo 75 del Reglamento establece que “</w:t>
      </w:r>
      <w:r w:rsidRPr="00EA2343">
        <w:rPr>
          <w:rFonts w:ascii="Tahoma" w:hAnsi="Tahoma" w:cs="Tahoma"/>
          <w:i/>
          <w:sz w:val="22"/>
          <w:szCs w:val="22"/>
        </w:rPr>
        <w:t>El otorgamiento de la Buena Pro en acto público, se presumirá notificado a todos los postores en la misma fecha, oportunidad en la que se entregará a los postores copia del acta de otorgamiento de la Buena Pro y el cuadro comparativo, detallando los resultados en cada factor de evaluación</w:t>
      </w:r>
      <w:r>
        <w:rPr>
          <w:rFonts w:ascii="Tahoma" w:hAnsi="Tahoma" w:cs="Tahoma"/>
          <w:sz w:val="22"/>
          <w:szCs w:val="22"/>
        </w:rPr>
        <w:t>”.</w:t>
      </w:r>
    </w:p>
    <w:p w:rsidR="002E78D8" w:rsidRDefault="002E78D8" w:rsidP="002E78D8">
      <w:pPr>
        <w:pStyle w:val="Prrafodelista"/>
        <w:rPr>
          <w:rFonts w:ascii="Tahoma" w:hAnsi="Tahoma" w:cs="Tahoma"/>
          <w:sz w:val="22"/>
          <w:szCs w:val="22"/>
        </w:rPr>
      </w:pPr>
    </w:p>
    <w:p w:rsidR="002E78D8" w:rsidRDefault="002E78D8" w:rsidP="002E78D8">
      <w:pPr>
        <w:numPr>
          <w:ilvl w:val="0"/>
          <w:numId w:val="1"/>
        </w:numPr>
        <w:tabs>
          <w:tab w:val="left" w:pos="567"/>
        </w:tabs>
        <w:autoSpaceDE w:val="0"/>
        <w:autoSpaceDN w:val="0"/>
        <w:adjustRightInd w:val="0"/>
        <w:ind w:left="567" w:hanging="567"/>
        <w:jc w:val="both"/>
        <w:rPr>
          <w:rFonts w:ascii="Tahoma" w:hAnsi="Tahoma" w:cs="Tahoma"/>
          <w:sz w:val="22"/>
          <w:szCs w:val="22"/>
        </w:rPr>
      </w:pPr>
      <w:r>
        <w:rPr>
          <w:rFonts w:ascii="Tahoma" w:hAnsi="Tahoma" w:cs="Tahoma"/>
          <w:sz w:val="22"/>
          <w:szCs w:val="22"/>
        </w:rPr>
        <w:t>Nótese entonces, que la normativa de contrataciones, ha dispuesto que los resultados del proceso de selección, se dará a conocer a través del acta de otorgamiento de la Buena Pro y el cuadro comparativo en el que se consignará los resultados en cada factor de evaluación, el puntaje técnico – económico y el orden de prelación de cada uno de los postores.</w:t>
      </w:r>
    </w:p>
    <w:p w:rsidR="002E78D8" w:rsidRDefault="002E78D8" w:rsidP="002E78D8">
      <w:pPr>
        <w:tabs>
          <w:tab w:val="left" w:pos="567"/>
        </w:tabs>
        <w:autoSpaceDE w:val="0"/>
        <w:autoSpaceDN w:val="0"/>
        <w:adjustRightInd w:val="0"/>
        <w:ind w:left="567"/>
        <w:jc w:val="both"/>
        <w:rPr>
          <w:rFonts w:ascii="Tahoma" w:hAnsi="Tahoma" w:cs="Tahoma"/>
          <w:sz w:val="22"/>
          <w:szCs w:val="22"/>
        </w:rPr>
      </w:pPr>
    </w:p>
    <w:p w:rsidR="002E78D8" w:rsidRDefault="002E78D8" w:rsidP="002E78D8">
      <w:pPr>
        <w:numPr>
          <w:ilvl w:val="0"/>
          <w:numId w:val="1"/>
        </w:numPr>
        <w:tabs>
          <w:tab w:val="left" w:pos="567"/>
        </w:tabs>
        <w:autoSpaceDE w:val="0"/>
        <w:autoSpaceDN w:val="0"/>
        <w:adjustRightInd w:val="0"/>
        <w:ind w:left="567" w:hanging="567"/>
        <w:jc w:val="both"/>
        <w:rPr>
          <w:rFonts w:ascii="Tahoma" w:hAnsi="Tahoma" w:cs="Tahoma"/>
          <w:sz w:val="22"/>
          <w:szCs w:val="22"/>
        </w:rPr>
      </w:pPr>
      <w:r>
        <w:rPr>
          <w:rFonts w:ascii="Tahoma" w:hAnsi="Tahoma" w:cs="Tahoma"/>
          <w:sz w:val="22"/>
          <w:szCs w:val="22"/>
        </w:rPr>
        <w:t>Respecto a ello,</w:t>
      </w:r>
      <w:r w:rsidRPr="0068202E">
        <w:rPr>
          <w:rFonts w:ascii="Tahoma" w:hAnsi="Tahoma" w:cs="Tahoma"/>
          <w:sz w:val="22"/>
          <w:szCs w:val="22"/>
        </w:rPr>
        <w:t xml:space="preserve"> </w:t>
      </w:r>
      <w:r>
        <w:rPr>
          <w:rFonts w:ascii="Tahoma" w:hAnsi="Tahoma" w:cs="Tahoma"/>
          <w:sz w:val="22"/>
          <w:szCs w:val="22"/>
        </w:rPr>
        <w:t xml:space="preserve">cabe precisar que </w:t>
      </w:r>
      <w:r w:rsidRPr="0068202E">
        <w:rPr>
          <w:rFonts w:ascii="Tahoma" w:hAnsi="Tahoma" w:cs="Tahoma"/>
          <w:sz w:val="22"/>
          <w:szCs w:val="22"/>
        </w:rPr>
        <w:t xml:space="preserve">con fecha 19 de enero del 2011, </w:t>
      </w:r>
      <w:r>
        <w:rPr>
          <w:rFonts w:ascii="Tahoma" w:hAnsi="Tahoma" w:cs="Tahoma"/>
          <w:sz w:val="22"/>
          <w:szCs w:val="22"/>
        </w:rPr>
        <w:t>se publicó en la ficha del proceso de selección materia de análisis, el Cuadro Comparativo de Evaluación Técnica, en el cual se consignó los siguientes resultados:</w:t>
      </w:r>
    </w:p>
    <w:p w:rsidR="002E78D8" w:rsidRDefault="002E78D8" w:rsidP="002E78D8">
      <w:pPr>
        <w:pStyle w:val="Prrafodelista"/>
        <w:rPr>
          <w:rFonts w:ascii="Tahoma" w:hAnsi="Tahoma" w:cs="Tahoma"/>
          <w:sz w:val="22"/>
          <w:szCs w:val="22"/>
        </w:rPr>
      </w:pPr>
    </w:p>
    <w:p w:rsidR="002E78D8" w:rsidRDefault="002E78D8" w:rsidP="002E78D8">
      <w:pPr>
        <w:tabs>
          <w:tab w:val="left" w:pos="567"/>
        </w:tabs>
        <w:autoSpaceDE w:val="0"/>
        <w:autoSpaceDN w:val="0"/>
        <w:adjustRightInd w:val="0"/>
        <w:ind w:left="567"/>
        <w:jc w:val="both"/>
        <w:rPr>
          <w:rFonts w:ascii="Tahoma" w:hAnsi="Tahoma" w:cs="Tahoma"/>
          <w:sz w:val="22"/>
          <w:szCs w:val="22"/>
        </w:rPr>
      </w:pPr>
    </w:p>
    <w:p w:rsidR="002E78D8" w:rsidRPr="00862BA0" w:rsidRDefault="00287BDB" w:rsidP="002E78D8">
      <w:pPr>
        <w:tabs>
          <w:tab w:val="left" w:pos="567"/>
        </w:tabs>
        <w:autoSpaceDE w:val="0"/>
        <w:autoSpaceDN w:val="0"/>
        <w:adjustRightInd w:val="0"/>
        <w:ind w:left="567"/>
        <w:jc w:val="center"/>
        <w:rPr>
          <w:rFonts w:ascii="Tahoma" w:hAnsi="Tahoma" w:cs="Tahoma"/>
          <w:sz w:val="22"/>
          <w:szCs w:val="22"/>
        </w:rPr>
      </w:pPr>
      <w:r>
        <w:rPr>
          <w:rFonts w:ascii="Tahoma" w:hAnsi="Tahoma" w:cs="Tahoma"/>
          <w:noProof/>
          <w:sz w:val="22"/>
          <w:szCs w:val="22"/>
        </w:rPr>
        <w:lastRenderedPageBreak/>
        <w:drawing>
          <wp:inline distT="0" distB="0" distL="0" distR="0">
            <wp:extent cx="3283585" cy="3379470"/>
            <wp:effectExtent l="19050" t="0" r="0" b="0"/>
            <wp:docPr id="4" name="Imagen 2" descr="C:\Documents and Settings\jtorrico\Escritorio\Archivos (ABL)\EXP-1605-2010\120-20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C:\Documents and Settings\jtorrico\Escritorio\Archivos (ABL)\EXP-1605-2010\120-2011.jpg"/>
                    <pic:cNvPicPr>
                      <a:picLocks noChangeAspect="1" noChangeArrowheads="1"/>
                    </pic:cNvPicPr>
                  </pic:nvPicPr>
                  <pic:blipFill>
                    <a:blip r:embed="rId7"/>
                    <a:srcRect/>
                    <a:stretch>
                      <a:fillRect/>
                    </a:stretch>
                  </pic:blipFill>
                  <pic:spPr bwMode="auto">
                    <a:xfrm>
                      <a:off x="0" y="0"/>
                      <a:ext cx="3283585" cy="3379470"/>
                    </a:xfrm>
                    <a:prstGeom prst="rect">
                      <a:avLst/>
                    </a:prstGeom>
                    <a:noFill/>
                    <a:ln w="9525">
                      <a:noFill/>
                      <a:miter lim="800000"/>
                      <a:headEnd/>
                      <a:tailEnd/>
                    </a:ln>
                  </pic:spPr>
                </pic:pic>
              </a:graphicData>
            </a:graphic>
          </wp:inline>
        </w:drawing>
      </w:r>
    </w:p>
    <w:p w:rsidR="002E78D8" w:rsidRDefault="002E78D8" w:rsidP="002E78D8">
      <w:pPr>
        <w:pStyle w:val="Prrafodelista"/>
        <w:ind w:left="0"/>
        <w:rPr>
          <w:rFonts w:ascii="Tahoma" w:hAnsi="Tahoma" w:cs="Tahoma"/>
          <w:sz w:val="22"/>
          <w:szCs w:val="22"/>
        </w:rPr>
      </w:pPr>
    </w:p>
    <w:p w:rsidR="002E78D8" w:rsidRDefault="002E78D8" w:rsidP="002E78D8">
      <w:pPr>
        <w:numPr>
          <w:ilvl w:val="0"/>
          <w:numId w:val="1"/>
        </w:numPr>
        <w:tabs>
          <w:tab w:val="left" w:pos="567"/>
        </w:tabs>
        <w:autoSpaceDE w:val="0"/>
        <w:autoSpaceDN w:val="0"/>
        <w:adjustRightInd w:val="0"/>
        <w:ind w:left="567" w:hanging="567"/>
        <w:jc w:val="both"/>
        <w:rPr>
          <w:rFonts w:ascii="Tahoma" w:hAnsi="Tahoma" w:cs="Tahoma"/>
          <w:sz w:val="22"/>
          <w:szCs w:val="22"/>
        </w:rPr>
      </w:pPr>
      <w:r>
        <w:rPr>
          <w:rFonts w:ascii="Tahoma" w:hAnsi="Tahoma" w:cs="Tahoma"/>
          <w:sz w:val="22"/>
          <w:szCs w:val="22"/>
        </w:rPr>
        <w:t>Asimismo, en la misma fecha se publicó el Acta de Presencia Notarial de la Licitación Pública Nº 001-2010-ESSALUD/CNSR(1095L00011), en la cual se consignó lo siguiente:</w:t>
      </w:r>
    </w:p>
    <w:p w:rsidR="002E78D8" w:rsidRDefault="002E78D8" w:rsidP="002E78D8">
      <w:pPr>
        <w:tabs>
          <w:tab w:val="left" w:pos="567"/>
        </w:tabs>
        <w:autoSpaceDE w:val="0"/>
        <w:autoSpaceDN w:val="0"/>
        <w:adjustRightInd w:val="0"/>
        <w:ind w:left="567"/>
        <w:jc w:val="both"/>
        <w:rPr>
          <w:rFonts w:ascii="Tahoma" w:hAnsi="Tahoma" w:cs="Tahoma"/>
          <w:sz w:val="22"/>
          <w:szCs w:val="22"/>
        </w:rPr>
      </w:pPr>
    </w:p>
    <w:p w:rsidR="002E78D8" w:rsidRDefault="002E78D8" w:rsidP="002E78D8">
      <w:pPr>
        <w:autoSpaceDE w:val="0"/>
        <w:autoSpaceDN w:val="0"/>
        <w:adjustRightInd w:val="0"/>
        <w:ind w:left="567"/>
        <w:jc w:val="both"/>
        <w:rPr>
          <w:rFonts w:ascii="Tahoma" w:hAnsi="Tahoma" w:cs="Tahoma"/>
          <w:i/>
          <w:sz w:val="16"/>
          <w:szCs w:val="16"/>
        </w:rPr>
      </w:pPr>
      <w:r>
        <w:rPr>
          <w:rFonts w:ascii="Tahoma" w:hAnsi="Tahoma" w:cs="Tahoma"/>
          <w:i/>
          <w:sz w:val="16"/>
          <w:szCs w:val="16"/>
        </w:rPr>
        <w:t>“</w:t>
      </w:r>
      <w:r w:rsidRPr="002A5763">
        <w:rPr>
          <w:rFonts w:ascii="Tahoma" w:hAnsi="Tahoma" w:cs="Tahoma"/>
          <w:i/>
          <w:sz w:val="16"/>
          <w:szCs w:val="16"/>
        </w:rPr>
        <w:t xml:space="preserve">EL PRESIDENTE DEL COMITÉ ESPECIAL REABRIÓ EL ACTO PÚBLICO, DANDO LECTURA AL PUNTAJE TÉCNICO OBTENIDO POR LOS POSOTRES, COMO SIGUE: </w:t>
      </w:r>
      <w:r>
        <w:rPr>
          <w:rFonts w:ascii="Tahoma" w:hAnsi="Tahoma" w:cs="Tahoma"/>
          <w:i/>
          <w:sz w:val="16"/>
          <w:szCs w:val="16"/>
        </w:rPr>
        <w:t>======================================</w:t>
      </w:r>
    </w:p>
    <w:p w:rsidR="002E78D8" w:rsidRPr="002A5763" w:rsidRDefault="002E78D8" w:rsidP="002E78D8">
      <w:pPr>
        <w:autoSpaceDE w:val="0"/>
        <w:autoSpaceDN w:val="0"/>
        <w:adjustRightInd w:val="0"/>
        <w:ind w:left="567"/>
        <w:jc w:val="both"/>
        <w:rPr>
          <w:rFonts w:ascii="Tahoma" w:hAnsi="Tahoma" w:cs="Tahoma"/>
          <w:i/>
          <w:sz w:val="16"/>
          <w:szCs w:val="16"/>
        </w:rPr>
      </w:pPr>
    </w:p>
    <w:p w:rsidR="002E78D8" w:rsidRPr="002A5763" w:rsidRDefault="002E78D8" w:rsidP="002E78D8">
      <w:pPr>
        <w:autoSpaceDE w:val="0"/>
        <w:autoSpaceDN w:val="0"/>
        <w:adjustRightInd w:val="0"/>
        <w:ind w:left="567"/>
        <w:jc w:val="both"/>
        <w:rPr>
          <w:rFonts w:ascii="Tahoma" w:hAnsi="Tahoma" w:cs="Tahoma"/>
          <w:b/>
          <w:i/>
          <w:sz w:val="16"/>
          <w:szCs w:val="16"/>
          <w:u w:val="single"/>
        </w:rPr>
      </w:pPr>
      <w:r w:rsidRPr="002A5763">
        <w:rPr>
          <w:rFonts w:ascii="Tahoma" w:hAnsi="Tahoma" w:cs="Tahoma"/>
          <w:b/>
          <w:i/>
          <w:sz w:val="16"/>
          <w:szCs w:val="16"/>
          <w:u w:val="single"/>
        </w:rPr>
        <w:t>EVALUACIÓN TÉCNICA:</w:t>
      </w:r>
    </w:p>
    <w:p w:rsidR="002E78D8" w:rsidRPr="00E7580A" w:rsidRDefault="002E78D8" w:rsidP="002E78D8">
      <w:pPr>
        <w:autoSpaceDE w:val="0"/>
        <w:autoSpaceDN w:val="0"/>
        <w:adjustRightInd w:val="0"/>
        <w:ind w:left="567"/>
        <w:jc w:val="both"/>
        <w:rPr>
          <w:rFonts w:ascii="Tahoma" w:hAnsi="Tahoma" w:cs="Tahoma"/>
          <w:sz w:val="22"/>
          <w:szCs w:val="22"/>
          <w:u w:val="single"/>
        </w:rPr>
      </w:pPr>
    </w:p>
    <w:tbl>
      <w:tblPr>
        <w:tblW w:w="7938"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5"/>
        <w:gridCol w:w="1418"/>
        <w:gridCol w:w="1276"/>
        <w:gridCol w:w="1417"/>
        <w:gridCol w:w="993"/>
        <w:gridCol w:w="992"/>
        <w:gridCol w:w="1417"/>
      </w:tblGrid>
      <w:tr w:rsidR="002E78D8" w:rsidRPr="002C780E" w:rsidTr="007234C9">
        <w:tc>
          <w:tcPr>
            <w:tcW w:w="425" w:type="dxa"/>
            <w:vMerge w:val="restart"/>
          </w:tcPr>
          <w:p w:rsidR="002E78D8" w:rsidRPr="002C780E" w:rsidRDefault="002E78D8" w:rsidP="007234C9">
            <w:pPr>
              <w:autoSpaceDE w:val="0"/>
              <w:autoSpaceDN w:val="0"/>
              <w:adjustRightInd w:val="0"/>
              <w:jc w:val="center"/>
              <w:rPr>
                <w:rFonts w:ascii="Tahoma" w:hAnsi="Tahoma" w:cs="Tahoma"/>
                <w:i/>
                <w:sz w:val="16"/>
                <w:szCs w:val="16"/>
              </w:rPr>
            </w:pPr>
            <w:r w:rsidRPr="002C780E">
              <w:rPr>
                <w:rFonts w:ascii="Tahoma" w:hAnsi="Tahoma" w:cs="Tahoma"/>
                <w:i/>
                <w:sz w:val="16"/>
                <w:szCs w:val="16"/>
              </w:rPr>
              <w:t>Nº</w:t>
            </w:r>
          </w:p>
        </w:tc>
        <w:tc>
          <w:tcPr>
            <w:tcW w:w="1418" w:type="dxa"/>
            <w:vMerge w:val="restart"/>
          </w:tcPr>
          <w:p w:rsidR="002E78D8" w:rsidRPr="002C780E" w:rsidRDefault="002E78D8" w:rsidP="007234C9">
            <w:pPr>
              <w:autoSpaceDE w:val="0"/>
              <w:autoSpaceDN w:val="0"/>
              <w:adjustRightInd w:val="0"/>
              <w:jc w:val="center"/>
              <w:rPr>
                <w:rFonts w:ascii="Tahoma" w:hAnsi="Tahoma" w:cs="Tahoma"/>
                <w:i/>
                <w:sz w:val="16"/>
                <w:szCs w:val="16"/>
              </w:rPr>
            </w:pPr>
            <w:r w:rsidRPr="002C780E">
              <w:rPr>
                <w:rFonts w:ascii="Tahoma" w:hAnsi="Tahoma" w:cs="Tahoma"/>
                <w:i/>
                <w:sz w:val="16"/>
                <w:szCs w:val="16"/>
              </w:rPr>
              <w:t>POSTOR</w:t>
            </w:r>
          </w:p>
        </w:tc>
        <w:tc>
          <w:tcPr>
            <w:tcW w:w="3686" w:type="dxa"/>
            <w:gridSpan w:val="3"/>
          </w:tcPr>
          <w:p w:rsidR="002E78D8" w:rsidRPr="002C780E" w:rsidRDefault="002E78D8" w:rsidP="007234C9">
            <w:pPr>
              <w:autoSpaceDE w:val="0"/>
              <w:autoSpaceDN w:val="0"/>
              <w:adjustRightInd w:val="0"/>
              <w:jc w:val="center"/>
              <w:rPr>
                <w:rFonts w:ascii="Tahoma" w:hAnsi="Tahoma" w:cs="Tahoma"/>
                <w:i/>
                <w:sz w:val="16"/>
                <w:szCs w:val="16"/>
              </w:rPr>
            </w:pPr>
            <w:r w:rsidRPr="002C780E">
              <w:rPr>
                <w:rFonts w:ascii="Tahoma" w:hAnsi="Tahoma" w:cs="Tahoma"/>
                <w:i/>
                <w:sz w:val="16"/>
                <w:szCs w:val="16"/>
              </w:rPr>
              <w:t>FACTORES DE EVALUACIÓN</w:t>
            </w:r>
          </w:p>
        </w:tc>
        <w:tc>
          <w:tcPr>
            <w:tcW w:w="992" w:type="dxa"/>
            <w:vMerge w:val="restart"/>
          </w:tcPr>
          <w:p w:rsidR="002E78D8" w:rsidRPr="002C780E" w:rsidRDefault="002E78D8" w:rsidP="007234C9">
            <w:pPr>
              <w:autoSpaceDE w:val="0"/>
              <w:autoSpaceDN w:val="0"/>
              <w:adjustRightInd w:val="0"/>
              <w:jc w:val="center"/>
              <w:rPr>
                <w:rFonts w:ascii="Tahoma" w:hAnsi="Tahoma" w:cs="Tahoma"/>
                <w:i/>
                <w:sz w:val="16"/>
                <w:szCs w:val="16"/>
              </w:rPr>
            </w:pPr>
            <w:r w:rsidRPr="002C780E">
              <w:rPr>
                <w:rFonts w:ascii="Tahoma" w:hAnsi="Tahoma" w:cs="Tahoma"/>
                <w:i/>
                <w:sz w:val="16"/>
                <w:szCs w:val="16"/>
              </w:rPr>
              <w:t>PUNTAJE OFERTA TÉCNICA</w:t>
            </w:r>
          </w:p>
        </w:tc>
        <w:tc>
          <w:tcPr>
            <w:tcW w:w="1417" w:type="dxa"/>
            <w:vMerge w:val="restart"/>
          </w:tcPr>
          <w:p w:rsidR="002E78D8" w:rsidRPr="002C780E" w:rsidRDefault="002E78D8" w:rsidP="007234C9">
            <w:pPr>
              <w:autoSpaceDE w:val="0"/>
              <w:autoSpaceDN w:val="0"/>
              <w:adjustRightInd w:val="0"/>
              <w:jc w:val="center"/>
              <w:rPr>
                <w:rFonts w:ascii="Tahoma" w:hAnsi="Tahoma" w:cs="Tahoma"/>
                <w:i/>
                <w:sz w:val="16"/>
                <w:szCs w:val="16"/>
              </w:rPr>
            </w:pPr>
            <w:r w:rsidRPr="002C780E">
              <w:rPr>
                <w:rFonts w:ascii="Tahoma" w:hAnsi="Tahoma" w:cs="Tahoma"/>
                <w:i/>
                <w:sz w:val="16"/>
                <w:szCs w:val="16"/>
              </w:rPr>
              <w:t>CONDICION DE LA PROPUESTA</w:t>
            </w:r>
          </w:p>
        </w:tc>
      </w:tr>
      <w:tr w:rsidR="002E78D8" w:rsidRPr="002C780E" w:rsidTr="007234C9">
        <w:tc>
          <w:tcPr>
            <w:tcW w:w="425" w:type="dxa"/>
            <w:vMerge/>
          </w:tcPr>
          <w:p w:rsidR="002E78D8" w:rsidRPr="002C780E" w:rsidRDefault="002E78D8" w:rsidP="007234C9">
            <w:pPr>
              <w:autoSpaceDE w:val="0"/>
              <w:autoSpaceDN w:val="0"/>
              <w:adjustRightInd w:val="0"/>
              <w:jc w:val="center"/>
              <w:rPr>
                <w:rFonts w:ascii="Tahoma" w:hAnsi="Tahoma" w:cs="Tahoma"/>
                <w:i/>
                <w:sz w:val="16"/>
                <w:szCs w:val="16"/>
              </w:rPr>
            </w:pPr>
          </w:p>
        </w:tc>
        <w:tc>
          <w:tcPr>
            <w:tcW w:w="1418" w:type="dxa"/>
            <w:vMerge/>
          </w:tcPr>
          <w:p w:rsidR="002E78D8" w:rsidRPr="002C780E" w:rsidRDefault="002E78D8" w:rsidP="007234C9">
            <w:pPr>
              <w:autoSpaceDE w:val="0"/>
              <w:autoSpaceDN w:val="0"/>
              <w:adjustRightInd w:val="0"/>
              <w:jc w:val="center"/>
              <w:rPr>
                <w:rFonts w:ascii="Tahoma" w:hAnsi="Tahoma" w:cs="Tahoma"/>
                <w:i/>
                <w:sz w:val="16"/>
                <w:szCs w:val="16"/>
              </w:rPr>
            </w:pPr>
          </w:p>
        </w:tc>
        <w:tc>
          <w:tcPr>
            <w:tcW w:w="1276" w:type="dxa"/>
          </w:tcPr>
          <w:p w:rsidR="002E78D8" w:rsidRPr="002C780E" w:rsidRDefault="002E78D8" w:rsidP="007234C9">
            <w:pPr>
              <w:autoSpaceDE w:val="0"/>
              <w:autoSpaceDN w:val="0"/>
              <w:adjustRightInd w:val="0"/>
              <w:jc w:val="center"/>
              <w:rPr>
                <w:rFonts w:ascii="Tahoma" w:hAnsi="Tahoma" w:cs="Tahoma"/>
                <w:i/>
                <w:sz w:val="16"/>
                <w:szCs w:val="16"/>
              </w:rPr>
            </w:pPr>
            <w:r w:rsidRPr="002C780E">
              <w:rPr>
                <w:rFonts w:ascii="Tahoma" w:hAnsi="Tahoma" w:cs="Tahoma"/>
                <w:i/>
                <w:sz w:val="16"/>
                <w:szCs w:val="16"/>
              </w:rPr>
              <w:t>EVALUACIÓN AL POSTOR</w:t>
            </w:r>
          </w:p>
        </w:tc>
        <w:tc>
          <w:tcPr>
            <w:tcW w:w="1417" w:type="dxa"/>
          </w:tcPr>
          <w:p w:rsidR="002E78D8" w:rsidRPr="002C780E" w:rsidRDefault="002E78D8" w:rsidP="007234C9">
            <w:pPr>
              <w:autoSpaceDE w:val="0"/>
              <w:autoSpaceDN w:val="0"/>
              <w:adjustRightInd w:val="0"/>
              <w:jc w:val="center"/>
              <w:rPr>
                <w:rFonts w:ascii="Tahoma" w:hAnsi="Tahoma" w:cs="Tahoma"/>
                <w:i/>
                <w:sz w:val="16"/>
                <w:szCs w:val="16"/>
              </w:rPr>
            </w:pPr>
            <w:r w:rsidRPr="002C780E">
              <w:rPr>
                <w:rFonts w:ascii="Tahoma" w:hAnsi="Tahoma" w:cs="Tahoma"/>
                <w:i/>
                <w:sz w:val="16"/>
                <w:szCs w:val="16"/>
              </w:rPr>
              <w:t>CUMPLIMIENTO DE LA PRESTACIÓN</w:t>
            </w:r>
          </w:p>
        </w:tc>
        <w:tc>
          <w:tcPr>
            <w:tcW w:w="993" w:type="dxa"/>
          </w:tcPr>
          <w:p w:rsidR="002E78D8" w:rsidRPr="002C780E" w:rsidRDefault="002E78D8" w:rsidP="007234C9">
            <w:pPr>
              <w:autoSpaceDE w:val="0"/>
              <w:autoSpaceDN w:val="0"/>
              <w:adjustRightInd w:val="0"/>
              <w:jc w:val="center"/>
              <w:rPr>
                <w:rFonts w:ascii="Tahoma" w:hAnsi="Tahoma" w:cs="Tahoma"/>
                <w:i/>
                <w:sz w:val="16"/>
                <w:szCs w:val="16"/>
              </w:rPr>
            </w:pPr>
            <w:r w:rsidRPr="002C780E">
              <w:rPr>
                <w:rFonts w:ascii="Tahoma" w:hAnsi="Tahoma" w:cs="Tahoma"/>
                <w:i/>
                <w:sz w:val="16"/>
                <w:szCs w:val="16"/>
              </w:rPr>
              <w:t>PLAZO DE ENTREGA</w:t>
            </w:r>
          </w:p>
        </w:tc>
        <w:tc>
          <w:tcPr>
            <w:tcW w:w="992" w:type="dxa"/>
            <w:vMerge/>
          </w:tcPr>
          <w:p w:rsidR="002E78D8" w:rsidRPr="002C780E" w:rsidRDefault="002E78D8" w:rsidP="007234C9">
            <w:pPr>
              <w:autoSpaceDE w:val="0"/>
              <w:autoSpaceDN w:val="0"/>
              <w:adjustRightInd w:val="0"/>
              <w:jc w:val="center"/>
              <w:rPr>
                <w:rFonts w:ascii="Tahoma" w:hAnsi="Tahoma" w:cs="Tahoma"/>
                <w:i/>
                <w:sz w:val="16"/>
                <w:szCs w:val="16"/>
              </w:rPr>
            </w:pPr>
          </w:p>
        </w:tc>
        <w:tc>
          <w:tcPr>
            <w:tcW w:w="1417" w:type="dxa"/>
            <w:vMerge/>
          </w:tcPr>
          <w:p w:rsidR="002E78D8" w:rsidRPr="002C780E" w:rsidRDefault="002E78D8" w:rsidP="007234C9">
            <w:pPr>
              <w:autoSpaceDE w:val="0"/>
              <w:autoSpaceDN w:val="0"/>
              <w:adjustRightInd w:val="0"/>
              <w:jc w:val="center"/>
              <w:rPr>
                <w:rFonts w:ascii="Tahoma" w:hAnsi="Tahoma" w:cs="Tahoma"/>
                <w:i/>
                <w:sz w:val="16"/>
                <w:szCs w:val="16"/>
              </w:rPr>
            </w:pPr>
          </w:p>
        </w:tc>
      </w:tr>
      <w:tr w:rsidR="002E78D8" w:rsidRPr="002C780E" w:rsidTr="007234C9">
        <w:tc>
          <w:tcPr>
            <w:tcW w:w="425" w:type="dxa"/>
          </w:tcPr>
          <w:p w:rsidR="002E78D8" w:rsidRPr="002C780E" w:rsidRDefault="002E78D8" w:rsidP="007234C9">
            <w:pPr>
              <w:autoSpaceDE w:val="0"/>
              <w:autoSpaceDN w:val="0"/>
              <w:adjustRightInd w:val="0"/>
              <w:jc w:val="center"/>
              <w:rPr>
                <w:rFonts w:ascii="Tahoma" w:hAnsi="Tahoma" w:cs="Tahoma"/>
                <w:i/>
                <w:sz w:val="16"/>
                <w:szCs w:val="16"/>
              </w:rPr>
            </w:pPr>
            <w:r w:rsidRPr="002C780E">
              <w:rPr>
                <w:rFonts w:ascii="Tahoma" w:hAnsi="Tahoma" w:cs="Tahoma"/>
                <w:i/>
                <w:sz w:val="16"/>
                <w:szCs w:val="16"/>
              </w:rPr>
              <w:t>1</w:t>
            </w:r>
          </w:p>
        </w:tc>
        <w:tc>
          <w:tcPr>
            <w:tcW w:w="1418" w:type="dxa"/>
          </w:tcPr>
          <w:p w:rsidR="002E78D8" w:rsidRPr="002C780E" w:rsidRDefault="002E78D8" w:rsidP="007234C9">
            <w:pPr>
              <w:autoSpaceDE w:val="0"/>
              <w:autoSpaceDN w:val="0"/>
              <w:adjustRightInd w:val="0"/>
              <w:jc w:val="center"/>
              <w:rPr>
                <w:rFonts w:ascii="Tahoma" w:hAnsi="Tahoma" w:cs="Tahoma"/>
                <w:i/>
                <w:sz w:val="16"/>
                <w:szCs w:val="16"/>
              </w:rPr>
            </w:pPr>
            <w:r w:rsidRPr="002C780E">
              <w:rPr>
                <w:rFonts w:ascii="Tahoma" w:hAnsi="Tahoma" w:cs="Tahoma"/>
                <w:i/>
                <w:sz w:val="16"/>
                <w:szCs w:val="16"/>
              </w:rPr>
              <w:t>LABORATORIOS BAXTER DEL PERU S.A.</w:t>
            </w:r>
          </w:p>
        </w:tc>
        <w:tc>
          <w:tcPr>
            <w:tcW w:w="1276" w:type="dxa"/>
          </w:tcPr>
          <w:p w:rsidR="002E78D8" w:rsidRPr="002C780E" w:rsidRDefault="002E78D8" w:rsidP="007234C9">
            <w:pPr>
              <w:autoSpaceDE w:val="0"/>
              <w:autoSpaceDN w:val="0"/>
              <w:adjustRightInd w:val="0"/>
              <w:jc w:val="center"/>
              <w:rPr>
                <w:rFonts w:ascii="Tahoma" w:hAnsi="Tahoma" w:cs="Tahoma"/>
                <w:i/>
                <w:sz w:val="16"/>
                <w:szCs w:val="16"/>
              </w:rPr>
            </w:pPr>
            <w:r w:rsidRPr="002C780E">
              <w:rPr>
                <w:rFonts w:ascii="Tahoma" w:hAnsi="Tahoma" w:cs="Tahoma"/>
                <w:i/>
                <w:sz w:val="16"/>
                <w:szCs w:val="16"/>
              </w:rPr>
              <w:t>0.00</w:t>
            </w:r>
          </w:p>
        </w:tc>
        <w:tc>
          <w:tcPr>
            <w:tcW w:w="1417" w:type="dxa"/>
          </w:tcPr>
          <w:p w:rsidR="002E78D8" w:rsidRPr="002C780E" w:rsidRDefault="002E78D8" w:rsidP="007234C9">
            <w:pPr>
              <w:autoSpaceDE w:val="0"/>
              <w:autoSpaceDN w:val="0"/>
              <w:adjustRightInd w:val="0"/>
              <w:jc w:val="center"/>
              <w:rPr>
                <w:rFonts w:ascii="Tahoma" w:hAnsi="Tahoma" w:cs="Tahoma"/>
                <w:i/>
                <w:sz w:val="16"/>
                <w:szCs w:val="16"/>
              </w:rPr>
            </w:pPr>
            <w:r w:rsidRPr="002C780E">
              <w:rPr>
                <w:rFonts w:ascii="Tahoma" w:hAnsi="Tahoma" w:cs="Tahoma"/>
                <w:i/>
                <w:sz w:val="16"/>
                <w:szCs w:val="16"/>
              </w:rPr>
              <w:t>0.00</w:t>
            </w:r>
          </w:p>
        </w:tc>
        <w:tc>
          <w:tcPr>
            <w:tcW w:w="993" w:type="dxa"/>
          </w:tcPr>
          <w:p w:rsidR="002E78D8" w:rsidRPr="002C780E" w:rsidRDefault="002E78D8" w:rsidP="007234C9">
            <w:pPr>
              <w:autoSpaceDE w:val="0"/>
              <w:autoSpaceDN w:val="0"/>
              <w:adjustRightInd w:val="0"/>
              <w:jc w:val="center"/>
              <w:rPr>
                <w:rFonts w:ascii="Tahoma" w:hAnsi="Tahoma" w:cs="Tahoma"/>
                <w:i/>
                <w:sz w:val="16"/>
                <w:szCs w:val="16"/>
              </w:rPr>
            </w:pPr>
            <w:r w:rsidRPr="002C780E">
              <w:rPr>
                <w:rFonts w:ascii="Tahoma" w:hAnsi="Tahoma" w:cs="Tahoma"/>
                <w:i/>
                <w:sz w:val="16"/>
                <w:szCs w:val="16"/>
              </w:rPr>
              <w:t>40.00</w:t>
            </w:r>
          </w:p>
        </w:tc>
        <w:tc>
          <w:tcPr>
            <w:tcW w:w="992" w:type="dxa"/>
          </w:tcPr>
          <w:p w:rsidR="002E78D8" w:rsidRPr="002C780E" w:rsidRDefault="002E78D8" w:rsidP="007234C9">
            <w:pPr>
              <w:autoSpaceDE w:val="0"/>
              <w:autoSpaceDN w:val="0"/>
              <w:adjustRightInd w:val="0"/>
              <w:jc w:val="center"/>
              <w:rPr>
                <w:rFonts w:ascii="Tahoma" w:hAnsi="Tahoma" w:cs="Tahoma"/>
                <w:i/>
                <w:sz w:val="16"/>
                <w:szCs w:val="16"/>
              </w:rPr>
            </w:pPr>
            <w:r w:rsidRPr="002C780E">
              <w:rPr>
                <w:rFonts w:ascii="Tahoma" w:hAnsi="Tahoma" w:cs="Tahoma"/>
                <w:i/>
                <w:sz w:val="16"/>
                <w:szCs w:val="16"/>
              </w:rPr>
              <w:t>40.00</w:t>
            </w:r>
          </w:p>
        </w:tc>
        <w:tc>
          <w:tcPr>
            <w:tcW w:w="1417" w:type="dxa"/>
          </w:tcPr>
          <w:p w:rsidR="002E78D8" w:rsidRPr="002C780E" w:rsidRDefault="002E78D8" w:rsidP="007234C9">
            <w:pPr>
              <w:autoSpaceDE w:val="0"/>
              <w:autoSpaceDN w:val="0"/>
              <w:adjustRightInd w:val="0"/>
              <w:jc w:val="center"/>
              <w:rPr>
                <w:rFonts w:ascii="Tahoma" w:hAnsi="Tahoma" w:cs="Tahoma"/>
                <w:i/>
                <w:sz w:val="16"/>
                <w:szCs w:val="16"/>
              </w:rPr>
            </w:pPr>
            <w:r w:rsidRPr="002C780E">
              <w:rPr>
                <w:rFonts w:ascii="Tahoma" w:hAnsi="Tahoma" w:cs="Tahoma"/>
                <w:i/>
                <w:sz w:val="16"/>
                <w:szCs w:val="16"/>
              </w:rPr>
              <w:t>DECALIFICADA</w:t>
            </w:r>
          </w:p>
        </w:tc>
      </w:tr>
      <w:tr w:rsidR="002E78D8" w:rsidRPr="002C780E" w:rsidTr="007234C9">
        <w:tc>
          <w:tcPr>
            <w:tcW w:w="425" w:type="dxa"/>
          </w:tcPr>
          <w:p w:rsidR="002E78D8" w:rsidRPr="002C780E" w:rsidRDefault="002E78D8" w:rsidP="007234C9">
            <w:pPr>
              <w:autoSpaceDE w:val="0"/>
              <w:autoSpaceDN w:val="0"/>
              <w:adjustRightInd w:val="0"/>
              <w:jc w:val="center"/>
              <w:rPr>
                <w:rFonts w:ascii="Tahoma" w:hAnsi="Tahoma" w:cs="Tahoma"/>
                <w:i/>
                <w:sz w:val="16"/>
                <w:szCs w:val="16"/>
              </w:rPr>
            </w:pPr>
            <w:r w:rsidRPr="002C780E">
              <w:rPr>
                <w:rFonts w:ascii="Tahoma" w:hAnsi="Tahoma" w:cs="Tahoma"/>
                <w:i/>
                <w:sz w:val="16"/>
                <w:szCs w:val="16"/>
              </w:rPr>
              <w:t>2</w:t>
            </w:r>
          </w:p>
        </w:tc>
        <w:tc>
          <w:tcPr>
            <w:tcW w:w="1418" w:type="dxa"/>
          </w:tcPr>
          <w:p w:rsidR="002E78D8" w:rsidRPr="002C780E" w:rsidRDefault="002E78D8" w:rsidP="007234C9">
            <w:pPr>
              <w:autoSpaceDE w:val="0"/>
              <w:autoSpaceDN w:val="0"/>
              <w:adjustRightInd w:val="0"/>
              <w:jc w:val="center"/>
              <w:rPr>
                <w:rFonts w:ascii="Tahoma" w:hAnsi="Tahoma" w:cs="Tahoma"/>
                <w:i/>
                <w:sz w:val="16"/>
                <w:szCs w:val="16"/>
              </w:rPr>
            </w:pPr>
            <w:r w:rsidRPr="002C780E">
              <w:rPr>
                <w:rFonts w:ascii="Tahoma" w:hAnsi="Tahoma" w:cs="Tahoma"/>
                <w:i/>
                <w:sz w:val="16"/>
                <w:szCs w:val="16"/>
              </w:rPr>
              <w:t>FRESENIUS MEDICAL CARE DEL PERÚ S.A.</w:t>
            </w:r>
          </w:p>
        </w:tc>
        <w:tc>
          <w:tcPr>
            <w:tcW w:w="1276" w:type="dxa"/>
          </w:tcPr>
          <w:p w:rsidR="002E78D8" w:rsidRPr="002C780E" w:rsidRDefault="002E78D8" w:rsidP="007234C9">
            <w:pPr>
              <w:autoSpaceDE w:val="0"/>
              <w:autoSpaceDN w:val="0"/>
              <w:adjustRightInd w:val="0"/>
              <w:jc w:val="center"/>
              <w:rPr>
                <w:rFonts w:ascii="Tahoma" w:hAnsi="Tahoma" w:cs="Tahoma"/>
                <w:i/>
                <w:sz w:val="16"/>
                <w:szCs w:val="16"/>
              </w:rPr>
            </w:pPr>
            <w:r w:rsidRPr="002C780E">
              <w:rPr>
                <w:rFonts w:ascii="Tahoma" w:hAnsi="Tahoma" w:cs="Tahoma"/>
                <w:i/>
                <w:sz w:val="16"/>
                <w:szCs w:val="16"/>
              </w:rPr>
              <w:t>40.00</w:t>
            </w:r>
          </w:p>
        </w:tc>
        <w:tc>
          <w:tcPr>
            <w:tcW w:w="1417" w:type="dxa"/>
          </w:tcPr>
          <w:p w:rsidR="002E78D8" w:rsidRPr="002C780E" w:rsidRDefault="002E78D8" w:rsidP="007234C9">
            <w:pPr>
              <w:autoSpaceDE w:val="0"/>
              <w:autoSpaceDN w:val="0"/>
              <w:adjustRightInd w:val="0"/>
              <w:jc w:val="center"/>
              <w:rPr>
                <w:rFonts w:ascii="Tahoma" w:hAnsi="Tahoma" w:cs="Tahoma"/>
                <w:i/>
                <w:sz w:val="16"/>
                <w:szCs w:val="16"/>
              </w:rPr>
            </w:pPr>
            <w:r w:rsidRPr="002C780E">
              <w:rPr>
                <w:rFonts w:ascii="Tahoma" w:hAnsi="Tahoma" w:cs="Tahoma"/>
                <w:i/>
                <w:sz w:val="16"/>
                <w:szCs w:val="16"/>
              </w:rPr>
              <w:t>20.00</w:t>
            </w:r>
          </w:p>
        </w:tc>
        <w:tc>
          <w:tcPr>
            <w:tcW w:w="993" w:type="dxa"/>
          </w:tcPr>
          <w:p w:rsidR="002E78D8" w:rsidRPr="002C780E" w:rsidRDefault="002E78D8" w:rsidP="007234C9">
            <w:pPr>
              <w:autoSpaceDE w:val="0"/>
              <w:autoSpaceDN w:val="0"/>
              <w:adjustRightInd w:val="0"/>
              <w:jc w:val="center"/>
              <w:rPr>
                <w:rFonts w:ascii="Tahoma" w:hAnsi="Tahoma" w:cs="Tahoma"/>
                <w:i/>
                <w:sz w:val="16"/>
                <w:szCs w:val="16"/>
              </w:rPr>
            </w:pPr>
            <w:r w:rsidRPr="002C780E">
              <w:rPr>
                <w:rFonts w:ascii="Tahoma" w:hAnsi="Tahoma" w:cs="Tahoma"/>
                <w:i/>
                <w:sz w:val="16"/>
                <w:szCs w:val="16"/>
              </w:rPr>
              <w:t>40.00</w:t>
            </w:r>
          </w:p>
        </w:tc>
        <w:tc>
          <w:tcPr>
            <w:tcW w:w="992" w:type="dxa"/>
          </w:tcPr>
          <w:p w:rsidR="002E78D8" w:rsidRPr="002C780E" w:rsidRDefault="002E78D8" w:rsidP="007234C9">
            <w:pPr>
              <w:autoSpaceDE w:val="0"/>
              <w:autoSpaceDN w:val="0"/>
              <w:adjustRightInd w:val="0"/>
              <w:jc w:val="center"/>
              <w:rPr>
                <w:rFonts w:ascii="Tahoma" w:hAnsi="Tahoma" w:cs="Tahoma"/>
                <w:i/>
                <w:sz w:val="16"/>
                <w:szCs w:val="16"/>
              </w:rPr>
            </w:pPr>
            <w:r w:rsidRPr="002C780E">
              <w:rPr>
                <w:rFonts w:ascii="Tahoma" w:hAnsi="Tahoma" w:cs="Tahoma"/>
                <w:i/>
                <w:sz w:val="16"/>
                <w:szCs w:val="16"/>
              </w:rPr>
              <w:t>100.00</w:t>
            </w:r>
          </w:p>
        </w:tc>
        <w:tc>
          <w:tcPr>
            <w:tcW w:w="1417" w:type="dxa"/>
          </w:tcPr>
          <w:p w:rsidR="002E78D8" w:rsidRPr="002C780E" w:rsidRDefault="002E78D8" w:rsidP="007234C9">
            <w:pPr>
              <w:autoSpaceDE w:val="0"/>
              <w:autoSpaceDN w:val="0"/>
              <w:adjustRightInd w:val="0"/>
              <w:jc w:val="center"/>
              <w:rPr>
                <w:rFonts w:ascii="Tahoma" w:hAnsi="Tahoma" w:cs="Tahoma"/>
                <w:i/>
                <w:sz w:val="16"/>
                <w:szCs w:val="16"/>
              </w:rPr>
            </w:pPr>
            <w:r w:rsidRPr="002C780E">
              <w:rPr>
                <w:rFonts w:ascii="Tahoma" w:hAnsi="Tahoma" w:cs="Tahoma"/>
                <w:i/>
                <w:sz w:val="16"/>
                <w:szCs w:val="16"/>
              </w:rPr>
              <w:t>ADMITIDA</w:t>
            </w:r>
          </w:p>
        </w:tc>
      </w:tr>
    </w:tbl>
    <w:p w:rsidR="002E78D8" w:rsidRDefault="002E78D8" w:rsidP="002E78D8">
      <w:pPr>
        <w:autoSpaceDE w:val="0"/>
        <w:autoSpaceDN w:val="0"/>
        <w:adjustRightInd w:val="0"/>
        <w:ind w:left="567"/>
        <w:jc w:val="both"/>
        <w:rPr>
          <w:rFonts w:ascii="Tahoma" w:hAnsi="Tahoma" w:cs="Tahoma"/>
          <w:sz w:val="22"/>
          <w:szCs w:val="22"/>
        </w:rPr>
      </w:pPr>
    </w:p>
    <w:p w:rsidR="002E78D8" w:rsidRPr="002A5763" w:rsidRDefault="002E78D8" w:rsidP="002E78D8">
      <w:pPr>
        <w:autoSpaceDE w:val="0"/>
        <w:autoSpaceDN w:val="0"/>
        <w:adjustRightInd w:val="0"/>
        <w:ind w:left="567"/>
        <w:jc w:val="both"/>
        <w:rPr>
          <w:rFonts w:ascii="Tahoma" w:hAnsi="Tahoma" w:cs="Tahoma"/>
          <w:i/>
          <w:sz w:val="16"/>
          <w:szCs w:val="16"/>
        </w:rPr>
      </w:pPr>
      <w:r w:rsidRPr="002A5763">
        <w:rPr>
          <w:rFonts w:ascii="Tahoma" w:hAnsi="Tahoma" w:cs="Tahoma"/>
          <w:i/>
          <w:sz w:val="16"/>
          <w:szCs w:val="16"/>
        </w:rPr>
        <w:t>EL POSTOR LABORATORIOS BAXTER DEL PERÚ S.A., NO ALCANZO EL PUNTAJE MÍNIMO REQUERIDO DE SESENTA PUNTOS, POR LOQUE SU PROPUESTA TÉCNICA FUE DESCALIFICADA, NEGÁNDOSE LA REPRESENTANTE EN ESTE ACTO DE DICHA EMPRESA A RECIBIR LA DEVOLUCIÓN DE SU SOBRE Nº 2- PROPUESTA ECONÓMIC, QUEDADNO EL SOBRE CERRADO EN PODER DEL COMITÉ ESPECIAL</w:t>
      </w:r>
      <w:r>
        <w:rPr>
          <w:rFonts w:ascii="Tahoma" w:hAnsi="Tahoma" w:cs="Tahoma"/>
          <w:i/>
          <w:sz w:val="16"/>
          <w:szCs w:val="16"/>
        </w:rPr>
        <w:t>”</w:t>
      </w:r>
      <w:r w:rsidRPr="002A5763">
        <w:rPr>
          <w:rFonts w:ascii="Tahoma" w:hAnsi="Tahoma" w:cs="Tahoma"/>
          <w:i/>
          <w:sz w:val="16"/>
          <w:szCs w:val="16"/>
        </w:rPr>
        <w:t>.</w:t>
      </w:r>
    </w:p>
    <w:p w:rsidR="002E78D8" w:rsidRDefault="002E78D8" w:rsidP="002E78D8">
      <w:pPr>
        <w:tabs>
          <w:tab w:val="left" w:pos="567"/>
        </w:tabs>
        <w:autoSpaceDE w:val="0"/>
        <w:autoSpaceDN w:val="0"/>
        <w:adjustRightInd w:val="0"/>
        <w:ind w:left="567"/>
        <w:jc w:val="both"/>
        <w:rPr>
          <w:rFonts w:ascii="Tahoma" w:hAnsi="Tahoma" w:cs="Tahoma"/>
          <w:sz w:val="22"/>
          <w:szCs w:val="22"/>
        </w:rPr>
      </w:pPr>
    </w:p>
    <w:p w:rsidR="002E78D8" w:rsidRDefault="002E78D8" w:rsidP="002E78D8">
      <w:pPr>
        <w:numPr>
          <w:ilvl w:val="0"/>
          <w:numId w:val="1"/>
        </w:numPr>
        <w:tabs>
          <w:tab w:val="left" w:pos="567"/>
        </w:tabs>
        <w:autoSpaceDE w:val="0"/>
        <w:autoSpaceDN w:val="0"/>
        <w:adjustRightInd w:val="0"/>
        <w:ind w:left="567" w:hanging="567"/>
        <w:jc w:val="both"/>
        <w:rPr>
          <w:rFonts w:ascii="Tahoma" w:hAnsi="Tahoma" w:cs="Tahoma"/>
          <w:sz w:val="22"/>
          <w:szCs w:val="22"/>
        </w:rPr>
      </w:pPr>
      <w:r w:rsidRPr="00DD3383">
        <w:rPr>
          <w:rFonts w:ascii="Tahoma" w:hAnsi="Tahoma" w:cs="Tahoma"/>
          <w:sz w:val="22"/>
          <w:szCs w:val="22"/>
        </w:rPr>
        <w:t xml:space="preserve">Como se puede advertir, el Comité Especial ha dado estricto cumplimiento a lo establecido por la normativa de contrataciones, toda vez que ha puesto en conocimiento de los postores que participaron el proceso de selección, el detalle de los resultados de cada factor de evaluación, en el cual se </w:t>
      </w:r>
      <w:r>
        <w:rPr>
          <w:rFonts w:ascii="Tahoma" w:hAnsi="Tahoma" w:cs="Tahoma"/>
          <w:sz w:val="22"/>
          <w:szCs w:val="22"/>
        </w:rPr>
        <w:t xml:space="preserve">advierte que </w:t>
      </w:r>
      <w:r w:rsidRPr="00DD3383">
        <w:rPr>
          <w:rFonts w:ascii="Tahoma" w:hAnsi="Tahoma" w:cs="Tahoma"/>
          <w:sz w:val="22"/>
          <w:szCs w:val="22"/>
        </w:rPr>
        <w:t xml:space="preserve">el </w:t>
      </w:r>
      <w:r w:rsidRPr="00DD3383">
        <w:rPr>
          <w:rFonts w:ascii="Tahoma" w:hAnsi="Tahoma" w:cs="Tahoma"/>
          <w:sz w:val="22"/>
          <w:szCs w:val="22"/>
        </w:rPr>
        <w:lastRenderedPageBreak/>
        <w:t xml:space="preserve">Impugnante no </w:t>
      </w:r>
      <w:r>
        <w:rPr>
          <w:rFonts w:ascii="Tahoma" w:hAnsi="Tahoma" w:cs="Tahoma"/>
          <w:sz w:val="22"/>
          <w:szCs w:val="22"/>
        </w:rPr>
        <w:t>obtuvo puntaje</w:t>
      </w:r>
      <w:r w:rsidRPr="00DD3383">
        <w:rPr>
          <w:rFonts w:ascii="Tahoma" w:hAnsi="Tahoma" w:cs="Tahoma"/>
          <w:sz w:val="22"/>
          <w:szCs w:val="22"/>
        </w:rPr>
        <w:t xml:space="preserve"> </w:t>
      </w:r>
      <w:r>
        <w:rPr>
          <w:rFonts w:ascii="Tahoma" w:hAnsi="Tahoma" w:cs="Tahoma"/>
          <w:sz w:val="22"/>
          <w:szCs w:val="22"/>
        </w:rPr>
        <w:t xml:space="preserve">en </w:t>
      </w:r>
      <w:r w:rsidRPr="00DD3383">
        <w:rPr>
          <w:rFonts w:ascii="Tahoma" w:hAnsi="Tahoma" w:cs="Tahoma"/>
          <w:sz w:val="22"/>
          <w:szCs w:val="22"/>
        </w:rPr>
        <w:t>l</w:t>
      </w:r>
      <w:r>
        <w:rPr>
          <w:rFonts w:ascii="Tahoma" w:hAnsi="Tahoma" w:cs="Tahoma"/>
          <w:sz w:val="22"/>
          <w:szCs w:val="22"/>
        </w:rPr>
        <w:t>os</w:t>
      </w:r>
      <w:r w:rsidRPr="00DD3383">
        <w:rPr>
          <w:rFonts w:ascii="Tahoma" w:hAnsi="Tahoma" w:cs="Tahoma"/>
          <w:sz w:val="22"/>
          <w:szCs w:val="22"/>
        </w:rPr>
        <w:t xml:space="preserve"> rubro</w:t>
      </w:r>
      <w:r>
        <w:rPr>
          <w:rFonts w:ascii="Tahoma" w:hAnsi="Tahoma" w:cs="Tahoma"/>
          <w:sz w:val="22"/>
          <w:szCs w:val="22"/>
        </w:rPr>
        <w:t>s</w:t>
      </w:r>
      <w:r w:rsidRPr="00DD3383">
        <w:rPr>
          <w:rFonts w:ascii="Tahoma" w:hAnsi="Tahoma" w:cs="Tahoma"/>
          <w:sz w:val="22"/>
          <w:szCs w:val="22"/>
        </w:rPr>
        <w:t xml:space="preserve"> “Evaluación al Postor”</w:t>
      </w:r>
      <w:r>
        <w:rPr>
          <w:rFonts w:ascii="Tahoma" w:hAnsi="Tahoma" w:cs="Tahoma"/>
          <w:sz w:val="22"/>
          <w:szCs w:val="22"/>
        </w:rPr>
        <w:t xml:space="preserve"> y </w:t>
      </w:r>
      <w:r w:rsidRPr="00DD3383">
        <w:rPr>
          <w:rFonts w:ascii="Tahoma" w:hAnsi="Tahoma" w:cs="Tahoma"/>
          <w:sz w:val="22"/>
          <w:szCs w:val="22"/>
        </w:rPr>
        <w:t>“Cumplimiento de la Prestación”</w:t>
      </w:r>
      <w:r>
        <w:rPr>
          <w:rFonts w:ascii="Tahoma" w:hAnsi="Tahoma" w:cs="Tahoma"/>
          <w:sz w:val="22"/>
          <w:szCs w:val="22"/>
        </w:rPr>
        <w:t xml:space="preserve">, al no haber acreditado la experiencia del postor en la venta de Sistemas de Diálisis Peritoneal Automatizado Continua (DIPAC) y </w:t>
      </w:r>
      <w:r w:rsidRPr="00DD3383">
        <w:rPr>
          <w:rFonts w:ascii="Tahoma" w:hAnsi="Tahoma" w:cs="Tahoma"/>
          <w:sz w:val="22"/>
          <w:szCs w:val="22"/>
        </w:rPr>
        <w:t>el cumplimiento de la prestación sin que haya incurrido en penalidades.</w:t>
      </w:r>
    </w:p>
    <w:p w:rsidR="002E78D8" w:rsidRDefault="002E78D8" w:rsidP="002E78D8">
      <w:pPr>
        <w:tabs>
          <w:tab w:val="left" w:pos="567"/>
        </w:tabs>
        <w:autoSpaceDE w:val="0"/>
        <w:autoSpaceDN w:val="0"/>
        <w:adjustRightInd w:val="0"/>
        <w:ind w:left="567"/>
        <w:jc w:val="both"/>
        <w:rPr>
          <w:rFonts w:ascii="Tahoma" w:hAnsi="Tahoma" w:cs="Tahoma"/>
          <w:sz w:val="22"/>
          <w:szCs w:val="22"/>
        </w:rPr>
      </w:pPr>
    </w:p>
    <w:p w:rsidR="002E78D8" w:rsidRPr="00E95E88" w:rsidRDefault="002E78D8" w:rsidP="002E78D8">
      <w:pPr>
        <w:numPr>
          <w:ilvl w:val="0"/>
          <w:numId w:val="1"/>
        </w:numPr>
        <w:tabs>
          <w:tab w:val="left" w:pos="567"/>
        </w:tabs>
        <w:autoSpaceDE w:val="0"/>
        <w:autoSpaceDN w:val="0"/>
        <w:adjustRightInd w:val="0"/>
        <w:ind w:left="567" w:hanging="567"/>
        <w:jc w:val="both"/>
        <w:rPr>
          <w:rFonts w:ascii="Tahoma" w:hAnsi="Tahoma" w:cs="Tahoma"/>
          <w:sz w:val="22"/>
          <w:szCs w:val="22"/>
        </w:rPr>
      </w:pPr>
      <w:r>
        <w:rPr>
          <w:rFonts w:ascii="Tahoma" w:hAnsi="Tahoma" w:cs="Tahoma"/>
          <w:sz w:val="22"/>
          <w:szCs w:val="22"/>
        </w:rPr>
        <w:t xml:space="preserve">En tal sentido, no cabe amparar la solicitud de nulidad deducida por la Impugnante, toda vez que se ha motivado los resultados del proceso de </w:t>
      </w:r>
      <w:r w:rsidRPr="00E95E88">
        <w:rPr>
          <w:rFonts w:ascii="Tahoma" w:hAnsi="Tahoma" w:cs="Tahoma"/>
          <w:sz w:val="22"/>
          <w:szCs w:val="22"/>
        </w:rPr>
        <w:t xml:space="preserve">selección en proporción al contenido y conforme al ordenamiento jurídico, es decir que el Comité Especial cumplió con comunicar a los postores los resultados de cada factor de evaluación, situación que trajo como consecuencia que el Impugnante tome conocimiento de manera oportuna que no había recibido puntaje en los rubros “Evaluación al Postor” y “Cumplimiento de la Prestación”, a efectos que, dentro de los plazos legales, puedan ejercer su derecho de contradicción, como efectivamente ha ocurrido en el caso materia de análisis, no generándose indefensión ni limitación a la Impugnante, </w:t>
      </w:r>
      <w:r>
        <w:rPr>
          <w:rFonts w:ascii="Tahoma" w:hAnsi="Tahoma" w:cs="Tahoma"/>
          <w:sz w:val="22"/>
          <w:szCs w:val="22"/>
        </w:rPr>
        <w:t>a ejercer dicho derecho</w:t>
      </w:r>
      <w:r w:rsidRPr="00E95E88">
        <w:rPr>
          <w:rFonts w:ascii="Tahoma" w:hAnsi="Tahoma" w:cs="Tahoma"/>
          <w:sz w:val="22"/>
          <w:szCs w:val="22"/>
        </w:rPr>
        <w:t>.</w:t>
      </w:r>
    </w:p>
    <w:p w:rsidR="002E78D8" w:rsidRDefault="002E78D8" w:rsidP="002E78D8">
      <w:pPr>
        <w:pStyle w:val="Prrafodelista"/>
        <w:rPr>
          <w:rFonts w:ascii="Tahoma" w:hAnsi="Tahoma" w:cs="Tahoma"/>
          <w:sz w:val="22"/>
          <w:szCs w:val="22"/>
        </w:rPr>
      </w:pPr>
    </w:p>
    <w:p w:rsidR="002E78D8" w:rsidRPr="007750BD" w:rsidRDefault="002E78D8" w:rsidP="002E78D8">
      <w:pPr>
        <w:tabs>
          <w:tab w:val="left" w:pos="567"/>
        </w:tabs>
        <w:autoSpaceDE w:val="0"/>
        <w:autoSpaceDN w:val="0"/>
        <w:adjustRightInd w:val="0"/>
        <w:ind w:left="567"/>
        <w:jc w:val="both"/>
        <w:rPr>
          <w:rFonts w:ascii="Tahoma" w:hAnsi="Tahoma" w:cs="Tahoma"/>
          <w:b/>
          <w:sz w:val="22"/>
          <w:szCs w:val="22"/>
        </w:rPr>
      </w:pPr>
      <w:r w:rsidRPr="007750BD">
        <w:rPr>
          <w:rFonts w:ascii="Tahoma" w:hAnsi="Tahoma" w:cs="Tahoma"/>
          <w:b/>
          <w:sz w:val="22"/>
          <w:szCs w:val="22"/>
        </w:rPr>
        <w:t>De los puntos controvertidos</w:t>
      </w:r>
    </w:p>
    <w:p w:rsidR="002E78D8" w:rsidRDefault="002E78D8" w:rsidP="002E78D8">
      <w:pPr>
        <w:tabs>
          <w:tab w:val="left" w:pos="567"/>
        </w:tabs>
        <w:autoSpaceDE w:val="0"/>
        <w:autoSpaceDN w:val="0"/>
        <w:adjustRightInd w:val="0"/>
        <w:ind w:left="567"/>
        <w:jc w:val="both"/>
        <w:rPr>
          <w:rFonts w:ascii="Tahoma" w:hAnsi="Tahoma" w:cs="Tahoma"/>
          <w:sz w:val="22"/>
          <w:szCs w:val="22"/>
        </w:rPr>
      </w:pPr>
    </w:p>
    <w:p w:rsidR="002E78D8" w:rsidRPr="002C1945" w:rsidRDefault="002E78D8" w:rsidP="002E78D8">
      <w:pPr>
        <w:pStyle w:val="Prrafodelista2"/>
        <w:widowControl/>
        <w:numPr>
          <w:ilvl w:val="0"/>
          <w:numId w:val="1"/>
        </w:numPr>
        <w:tabs>
          <w:tab w:val="num" w:pos="567"/>
        </w:tabs>
        <w:suppressAutoHyphens w:val="0"/>
        <w:ind w:left="567" w:hanging="567"/>
        <w:jc w:val="both"/>
        <w:rPr>
          <w:rFonts w:ascii="Tahoma" w:hAnsi="Tahoma" w:cs="Tahoma"/>
          <w:sz w:val="22"/>
          <w:szCs w:val="22"/>
        </w:rPr>
      </w:pPr>
      <w:r w:rsidRPr="002C1945">
        <w:rPr>
          <w:rFonts w:ascii="Tahoma" w:hAnsi="Tahoma" w:cs="Tahoma"/>
          <w:sz w:val="22"/>
          <w:szCs w:val="22"/>
        </w:rPr>
        <w:t>De los antecedentes reseñados fluye que el asunto controvertido consiste en determinar si corresponde readmitir la propuesta técnica del Impugnante al presente proceso de selección y descalificar la propuesta técnica del Adjudicatario por supuesto incumplimiento de requerimientos técnicos mínimos.</w:t>
      </w:r>
    </w:p>
    <w:p w:rsidR="002E78D8" w:rsidRPr="002C1945" w:rsidRDefault="002E78D8" w:rsidP="002E78D8">
      <w:pPr>
        <w:tabs>
          <w:tab w:val="left" w:pos="567"/>
        </w:tabs>
        <w:autoSpaceDE w:val="0"/>
        <w:autoSpaceDN w:val="0"/>
        <w:adjustRightInd w:val="0"/>
        <w:jc w:val="both"/>
        <w:rPr>
          <w:rFonts w:ascii="Tahoma" w:hAnsi="Tahoma" w:cs="Tahoma"/>
          <w:sz w:val="22"/>
          <w:szCs w:val="22"/>
        </w:rPr>
      </w:pPr>
    </w:p>
    <w:p w:rsidR="002E78D8" w:rsidRPr="002C1945" w:rsidRDefault="002E78D8" w:rsidP="002E78D8">
      <w:pPr>
        <w:pStyle w:val="Prrafodelista"/>
        <w:numPr>
          <w:ilvl w:val="0"/>
          <w:numId w:val="1"/>
        </w:numPr>
        <w:ind w:left="567" w:hanging="567"/>
        <w:contextualSpacing/>
        <w:jc w:val="both"/>
        <w:rPr>
          <w:rFonts w:ascii="Tahoma" w:hAnsi="Tahoma" w:cs="Tahoma"/>
          <w:sz w:val="22"/>
          <w:szCs w:val="22"/>
        </w:rPr>
      </w:pPr>
      <w:r w:rsidRPr="002C1945">
        <w:rPr>
          <w:rFonts w:ascii="Tahoma" w:hAnsi="Tahoma" w:cs="Tahoma"/>
          <w:sz w:val="22"/>
          <w:szCs w:val="22"/>
        </w:rPr>
        <w:t>Como marco referencial, es preciso tener en cuenta que en reiterada jurisprudencia emitida por este Tribunal, se ha establecido que las Bases constituyen las reglas del proceso de selección y es en función de ellas que debe efectuarse la calificación y evaluación de las propuestas, conforme a lo dispuesto en el artículo 26º de la Ley, la cual señala que lo estable</w:t>
      </w:r>
      <w:r>
        <w:rPr>
          <w:rFonts w:ascii="Tahoma" w:hAnsi="Tahoma" w:cs="Tahoma"/>
          <w:sz w:val="22"/>
          <w:szCs w:val="22"/>
        </w:rPr>
        <w:t xml:space="preserve">cido en las Bases, en la </w:t>
      </w:r>
      <w:r w:rsidRPr="002C1945">
        <w:rPr>
          <w:rFonts w:ascii="Tahoma" w:hAnsi="Tahoma" w:cs="Tahoma"/>
          <w:sz w:val="22"/>
          <w:szCs w:val="22"/>
        </w:rPr>
        <w:t>Ley y en el Reglamento, obliga a todos los postores y a la Entidad convocante.</w:t>
      </w:r>
    </w:p>
    <w:p w:rsidR="002E78D8" w:rsidRPr="002C1945" w:rsidRDefault="002E78D8" w:rsidP="002E78D8">
      <w:pPr>
        <w:pStyle w:val="Prrafodelista"/>
        <w:rPr>
          <w:rFonts w:ascii="Tahoma" w:hAnsi="Tahoma" w:cs="Tahoma"/>
          <w:sz w:val="22"/>
          <w:szCs w:val="22"/>
        </w:rPr>
      </w:pPr>
    </w:p>
    <w:p w:rsidR="002E78D8" w:rsidRPr="002C1945" w:rsidRDefault="002E78D8" w:rsidP="002E78D8">
      <w:pPr>
        <w:pStyle w:val="Prrafodelista"/>
        <w:widowControl w:val="0"/>
        <w:numPr>
          <w:ilvl w:val="0"/>
          <w:numId w:val="1"/>
        </w:numPr>
        <w:tabs>
          <w:tab w:val="num" w:pos="0"/>
          <w:tab w:val="num" w:pos="567"/>
        </w:tabs>
        <w:suppressAutoHyphens/>
        <w:ind w:left="567" w:hanging="567"/>
        <w:contextualSpacing/>
        <w:jc w:val="both"/>
        <w:rPr>
          <w:rFonts w:ascii="Tahoma" w:hAnsi="Tahoma" w:cs="Tahoma"/>
          <w:sz w:val="22"/>
          <w:szCs w:val="22"/>
        </w:rPr>
      </w:pPr>
      <w:r w:rsidRPr="002C1945">
        <w:rPr>
          <w:rFonts w:ascii="Tahoma" w:hAnsi="Tahoma" w:cs="Tahoma"/>
          <w:sz w:val="22"/>
          <w:szCs w:val="22"/>
        </w:rPr>
        <w:t>Asimismo, el artículo 61º del Reglamento, establece que para que una propuesta sea admitida deberá incluir, cumplir y, en su caso, acreditar la documentación de presentación obligatoria que se establezca en las Bases Administrativas y los requerimientos técnicos mínimos que constituyen las características técnicas, normas reglamentarias y cualquier otro requisito establecido como tal en las Bases y en las disposiciones legales que regulan el objeto materia de la contratación.</w:t>
      </w:r>
    </w:p>
    <w:p w:rsidR="002E78D8" w:rsidRPr="002C1945" w:rsidRDefault="002E78D8" w:rsidP="002E78D8">
      <w:pPr>
        <w:pStyle w:val="Prrafodelista1"/>
        <w:rPr>
          <w:rFonts w:ascii="Tahoma" w:eastAsia="Times New Roman" w:hAnsi="Tahoma" w:cs="Tahoma"/>
          <w:sz w:val="22"/>
          <w:szCs w:val="22"/>
        </w:rPr>
      </w:pPr>
    </w:p>
    <w:p w:rsidR="002E78D8" w:rsidRPr="002C1945" w:rsidRDefault="002E78D8" w:rsidP="002E78D8">
      <w:pPr>
        <w:pStyle w:val="Prrafodelista"/>
        <w:widowControl w:val="0"/>
        <w:numPr>
          <w:ilvl w:val="0"/>
          <w:numId w:val="1"/>
        </w:numPr>
        <w:tabs>
          <w:tab w:val="num" w:pos="567"/>
        </w:tabs>
        <w:suppressAutoHyphens/>
        <w:ind w:left="567" w:hanging="567"/>
        <w:contextualSpacing/>
        <w:jc w:val="both"/>
        <w:rPr>
          <w:rFonts w:ascii="Tahoma" w:hAnsi="Tahoma" w:cs="Tahoma"/>
          <w:sz w:val="22"/>
          <w:szCs w:val="22"/>
        </w:rPr>
      </w:pPr>
      <w:r w:rsidRPr="002C1945">
        <w:rPr>
          <w:rFonts w:ascii="Tahoma" w:hAnsi="Tahoma" w:cs="Tahoma"/>
          <w:sz w:val="22"/>
          <w:szCs w:val="22"/>
        </w:rPr>
        <w:t>Por su parte, el artículo 70º señala que a efecto de admitir las propuestas técnicas, el Comité Especial verificará que las ofertas cumplan con los requisitos de admisión de las propuestas establecidos en las Bases y que sólo una vez admitidas las propuestas, aplicará los factores de evaluación previstos en las Bases asignando los puntajes correspondientes, conforme a los criterios establecidos para cada factor y a la documentación sustentatoria presentada por el postor.</w:t>
      </w:r>
    </w:p>
    <w:p w:rsidR="002E78D8" w:rsidRPr="00745FAA" w:rsidRDefault="002E78D8" w:rsidP="002E78D8">
      <w:pPr>
        <w:numPr>
          <w:ilvl w:val="0"/>
          <w:numId w:val="1"/>
        </w:numPr>
        <w:tabs>
          <w:tab w:val="num" w:pos="567"/>
        </w:tabs>
        <w:ind w:left="567" w:hanging="567"/>
        <w:jc w:val="both"/>
        <w:rPr>
          <w:rFonts w:ascii="Tahoma" w:hAnsi="Tahoma" w:cs="Tahoma"/>
          <w:sz w:val="22"/>
          <w:szCs w:val="22"/>
        </w:rPr>
      </w:pPr>
      <w:r w:rsidRPr="002C1945">
        <w:rPr>
          <w:rFonts w:ascii="Tahoma" w:hAnsi="Tahoma" w:cs="Tahoma"/>
          <w:sz w:val="22"/>
          <w:szCs w:val="22"/>
        </w:rPr>
        <w:lastRenderedPageBreak/>
        <w:t>En bas</w:t>
      </w:r>
      <w:r>
        <w:rPr>
          <w:rFonts w:ascii="Tahoma" w:hAnsi="Tahoma" w:cs="Tahoma"/>
          <w:sz w:val="22"/>
          <w:szCs w:val="22"/>
        </w:rPr>
        <w:t>e a la normativa antes señalada</w:t>
      </w:r>
      <w:r w:rsidRPr="002C1945">
        <w:rPr>
          <w:rFonts w:ascii="Tahoma" w:hAnsi="Tahoma" w:cs="Tahoma"/>
          <w:sz w:val="22"/>
          <w:szCs w:val="22"/>
        </w:rPr>
        <w:t>, corresponde a este Tribunal de Contrataciones del Estado, en adelante el Tribunal, analizar los cuestionamientos realizados por el Impugnante contra la descalificación de su propuesta técnica en el acotado proceso de selección.</w:t>
      </w:r>
    </w:p>
    <w:p w:rsidR="002E78D8" w:rsidRPr="002C1945" w:rsidRDefault="002E78D8" w:rsidP="002E78D8">
      <w:pPr>
        <w:pStyle w:val="Prrafodelista"/>
        <w:ind w:left="567"/>
        <w:rPr>
          <w:rFonts w:ascii="Tahoma" w:hAnsi="Tahoma" w:cs="Tahoma"/>
          <w:sz w:val="22"/>
          <w:szCs w:val="22"/>
        </w:rPr>
      </w:pPr>
    </w:p>
    <w:p w:rsidR="002E78D8" w:rsidRDefault="002E78D8" w:rsidP="002E78D8">
      <w:pPr>
        <w:numPr>
          <w:ilvl w:val="0"/>
          <w:numId w:val="1"/>
        </w:numPr>
        <w:tabs>
          <w:tab w:val="num" w:pos="567"/>
        </w:tabs>
        <w:ind w:left="567" w:hanging="567"/>
        <w:jc w:val="both"/>
        <w:rPr>
          <w:rFonts w:ascii="Tahoma" w:hAnsi="Tahoma" w:cs="Tahoma"/>
          <w:sz w:val="22"/>
          <w:szCs w:val="22"/>
        </w:rPr>
      </w:pPr>
      <w:r w:rsidRPr="002C1945">
        <w:rPr>
          <w:rFonts w:ascii="Tahoma" w:hAnsi="Tahoma" w:cs="Tahoma"/>
          <w:sz w:val="22"/>
          <w:szCs w:val="22"/>
        </w:rPr>
        <w:t xml:space="preserve">Ahora bien, </w:t>
      </w:r>
      <w:r>
        <w:rPr>
          <w:rFonts w:ascii="Tahoma" w:hAnsi="Tahoma" w:cs="Tahoma"/>
          <w:sz w:val="22"/>
          <w:szCs w:val="22"/>
        </w:rPr>
        <w:t xml:space="preserve">tal como ha sido señalado por el Impugnante, su propuesta técnica ha sido descalificada por el Comité Especial, por no haber alcanzado el puntaje mínimo establecido en las Bases, a consecuencia que no se le otorgó puntaje en los factores de evaluación “EXPERIENCIA DEL POSTOR” y “CUMPLIMIENTO DE LA PRESTACIÓN”, al considerarse que mediante el Contrato de Distribución Exclusiva que suscribió con la empresa Hersil S.A. Laboratorios Industriales así como la Constancia de Prestación emitida por la acotada empresa, no se acreditaría dichos factores de evaluación. </w:t>
      </w:r>
    </w:p>
    <w:p w:rsidR="002E78D8" w:rsidRDefault="002E78D8" w:rsidP="002E78D8">
      <w:pPr>
        <w:pStyle w:val="Prrafodelista"/>
        <w:rPr>
          <w:rFonts w:ascii="Tahoma" w:hAnsi="Tahoma" w:cs="Tahoma"/>
          <w:sz w:val="22"/>
          <w:szCs w:val="22"/>
        </w:rPr>
      </w:pPr>
    </w:p>
    <w:p w:rsidR="002E78D8" w:rsidRPr="00745FAA" w:rsidRDefault="002E78D8" w:rsidP="002E78D8">
      <w:pPr>
        <w:ind w:left="567"/>
        <w:jc w:val="both"/>
        <w:rPr>
          <w:rFonts w:ascii="Tahoma" w:hAnsi="Tahoma" w:cs="Tahoma"/>
          <w:b/>
          <w:sz w:val="22"/>
          <w:szCs w:val="22"/>
        </w:rPr>
      </w:pPr>
      <w:r w:rsidRPr="00745FAA">
        <w:rPr>
          <w:rFonts w:ascii="Tahoma" w:hAnsi="Tahoma" w:cs="Tahoma"/>
          <w:b/>
          <w:sz w:val="22"/>
          <w:szCs w:val="22"/>
        </w:rPr>
        <w:t>RESPECTO A LA EXPERIENCIA DEL POSTOR</w:t>
      </w:r>
    </w:p>
    <w:p w:rsidR="002E78D8" w:rsidRDefault="002E78D8" w:rsidP="002E78D8">
      <w:pPr>
        <w:pStyle w:val="Prrafodelista"/>
        <w:rPr>
          <w:rFonts w:ascii="Tahoma" w:hAnsi="Tahoma" w:cs="Tahoma"/>
          <w:sz w:val="22"/>
          <w:szCs w:val="22"/>
        </w:rPr>
      </w:pPr>
    </w:p>
    <w:p w:rsidR="002E78D8" w:rsidRPr="00D1359A" w:rsidRDefault="002E78D8" w:rsidP="002E78D8">
      <w:pPr>
        <w:numPr>
          <w:ilvl w:val="0"/>
          <w:numId w:val="1"/>
        </w:numPr>
        <w:tabs>
          <w:tab w:val="num" w:pos="567"/>
        </w:tabs>
        <w:ind w:left="567" w:hanging="567"/>
        <w:jc w:val="both"/>
        <w:rPr>
          <w:rFonts w:ascii="Tahoma" w:hAnsi="Tahoma" w:cs="Tahoma"/>
          <w:sz w:val="22"/>
          <w:szCs w:val="22"/>
        </w:rPr>
      </w:pPr>
      <w:r>
        <w:rPr>
          <w:rFonts w:ascii="Tahoma" w:hAnsi="Tahoma" w:cs="Tahoma"/>
          <w:sz w:val="22"/>
          <w:szCs w:val="22"/>
          <w:lang w:val="es-ES_tradnl"/>
        </w:rPr>
        <w:t>E</w:t>
      </w:r>
      <w:r w:rsidRPr="001E516B">
        <w:rPr>
          <w:rFonts w:ascii="Tahoma" w:hAnsi="Tahoma" w:cs="Tahoma"/>
          <w:sz w:val="22"/>
          <w:szCs w:val="22"/>
        </w:rPr>
        <w:t xml:space="preserve">l Impugnante señaló que ha cumplido con acreditar, a través del </w:t>
      </w:r>
      <w:r w:rsidRPr="001E516B">
        <w:rPr>
          <w:rFonts w:ascii="Tahoma" w:hAnsi="Tahoma" w:cs="Tahoma"/>
          <w:sz w:val="22"/>
          <w:szCs w:val="22"/>
          <w:lang w:val="es-PE"/>
        </w:rPr>
        <w:t xml:space="preserve">“Contrato de Distribución Exclusiva”, su experiencia en la venta de Sistemas de Diálisis Peritoneal Automatizado Continua (DIPAC), toda vez que de sus cláusulas 3.1 y 5, se puede advertir que responden al de un contrato de venta de material médico y medicamentos, por lo tanto, si bien es cierto las partes han otorgado el nomen iuris de Contrato de Distribución Exclusiva, no es menos cierto que </w:t>
      </w:r>
      <w:r>
        <w:rPr>
          <w:rFonts w:ascii="Tahoma" w:hAnsi="Tahoma" w:cs="Tahoma"/>
          <w:sz w:val="22"/>
          <w:szCs w:val="22"/>
          <w:lang w:val="es-PE"/>
        </w:rPr>
        <w:t>en por su naturaleza</w:t>
      </w:r>
      <w:r w:rsidRPr="001E516B">
        <w:rPr>
          <w:rFonts w:ascii="Tahoma" w:hAnsi="Tahoma" w:cs="Tahoma"/>
          <w:sz w:val="22"/>
          <w:szCs w:val="22"/>
          <w:lang w:val="es-PE"/>
        </w:rPr>
        <w:t xml:space="preserve"> es un Contrato de Venta de Material Médico y Medicamentos, el mismo que permite acredi</w:t>
      </w:r>
      <w:r>
        <w:rPr>
          <w:rFonts w:ascii="Tahoma" w:hAnsi="Tahoma" w:cs="Tahoma"/>
          <w:sz w:val="22"/>
          <w:szCs w:val="22"/>
          <w:lang w:val="es-PE"/>
        </w:rPr>
        <w:t>tar su experiencia como postor</w:t>
      </w:r>
      <w:r w:rsidRPr="001E516B">
        <w:rPr>
          <w:rFonts w:ascii="Tahoma" w:hAnsi="Tahoma" w:cs="Tahoma"/>
          <w:sz w:val="22"/>
          <w:szCs w:val="22"/>
          <w:lang w:val="es-PE"/>
        </w:rPr>
        <w:t xml:space="preserve"> de acuerdo a los términos de las bases del proceso de selección</w:t>
      </w:r>
      <w:r>
        <w:rPr>
          <w:rFonts w:ascii="Tahoma" w:hAnsi="Tahoma" w:cs="Tahoma"/>
          <w:sz w:val="22"/>
          <w:szCs w:val="22"/>
          <w:lang w:val="es-PE"/>
        </w:rPr>
        <w:t>.</w:t>
      </w:r>
    </w:p>
    <w:p w:rsidR="002E78D8" w:rsidRDefault="002E78D8" w:rsidP="002E78D8">
      <w:pPr>
        <w:pStyle w:val="Prrafodelista"/>
        <w:ind w:left="0"/>
        <w:rPr>
          <w:rFonts w:ascii="Tahoma" w:hAnsi="Tahoma" w:cs="Tahoma"/>
          <w:sz w:val="22"/>
          <w:szCs w:val="22"/>
        </w:rPr>
      </w:pPr>
    </w:p>
    <w:p w:rsidR="002E78D8" w:rsidRDefault="002E78D8" w:rsidP="002E78D8">
      <w:pPr>
        <w:pStyle w:val="Prrafodelista"/>
        <w:ind w:left="567"/>
        <w:jc w:val="both"/>
        <w:rPr>
          <w:rFonts w:ascii="Tahoma" w:hAnsi="Tahoma" w:cs="Tahoma"/>
          <w:sz w:val="22"/>
          <w:szCs w:val="22"/>
          <w:lang w:val="es-PE"/>
        </w:rPr>
      </w:pPr>
      <w:r>
        <w:rPr>
          <w:rFonts w:ascii="Tahoma" w:hAnsi="Tahoma" w:cs="Tahoma"/>
          <w:sz w:val="22"/>
          <w:szCs w:val="22"/>
          <w:lang w:val="es-PE"/>
        </w:rPr>
        <w:t>Asimismo, señaló que el material médico objeto del Contrato de Distribución, contiene diez (10) de los ítems que guardan relación con el objeto de convocatoria del proceso de selección, por lo tanto se le debió otorgar el puntaje máximo de 20 (veinte) puntos, al demostrar su experiencia en la venta de sistemas de diálisis peritoneal automatizada continua.</w:t>
      </w:r>
    </w:p>
    <w:p w:rsidR="002E78D8" w:rsidRPr="00803ABE" w:rsidRDefault="002E78D8" w:rsidP="002E78D8">
      <w:pPr>
        <w:pStyle w:val="Prrafodelista"/>
        <w:ind w:left="1134" w:hanging="567"/>
        <w:rPr>
          <w:rFonts w:ascii="Tahoma" w:hAnsi="Tahoma" w:cs="Tahoma"/>
          <w:sz w:val="22"/>
          <w:szCs w:val="22"/>
          <w:lang w:val="es-PE"/>
        </w:rPr>
      </w:pPr>
    </w:p>
    <w:p w:rsidR="002E78D8" w:rsidRPr="00E81053" w:rsidRDefault="002E78D8" w:rsidP="002E78D8">
      <w:pPr>
        <w:pStyle w:val="Prrafodelista"/>
        <w:ind w:left="567"/>
        <w:jc w:val="both"/>
        <w:rPr>
          <w:rFonts w:ascii="Tahoma" w:hAnsi="Tahoma" w:cs="Tahoma"/>
          <w:sz w:val="22"/>
          <w:szCs w:val="22"/>
          <w:lang w:val="es-PE"/>
        </w:rPr>
      </w:pPr>
      <w:r w:rsidRPr="00E81053">
        <w:rPr>
          <w:rFonts w:ascii="Tahoma" w:hAnsi="Tahoma" w:cs="Tahoma"/>
          <w:sz w:val="22"/>
          <w:szCs w:val="22"/>
          <w:lang w:val="es-PE"/>
        </w:rPr>
        <w:t xml:space="preserve">Así también, señaló que adjuntó a su propuesta técnica la Carta HB/264.10.10 de fecha 26 </w:t>
      </w:r>
      <w:r>
        <w:rPr>
          <w:rFonts w:ascii="Tahoma" w:hAnsi="Tahoma" w:cs="Tahoma"/>
          <w:sz w:val="22"/>
          <w:szCs w:val="22"/>
          <w:lang w:val="es-PE"/>
        </w:rPr>
        <w:t>de octubre de 2010, en la que</w:t>
      </w:r>
      <w:r w:rsidRPr="00E81053">
        <w:rPr>
          <w:rFonts w:ascii="Tahoma" w:hAnsi="Tahoma" w:cs="Tahoma"/>
          <w:sz w:val="22"/>
          <w:szCs w:val="22"/>
          <w:lang w:val="es-PE"/>
        </w:rPr>
        <w:t xml:space="preserve"> dejó constancia de las facturas pagadas por Hersil S.A. Laboratorios Industriales Farmacéuticos a Baxter por la venta de medicamentos y material médico.</w:t>
      </w:r>
    </w:p>
    <w:p w:rsidR="002E78D8" w:rsidRPr="002C3494" w:rsidRDefault="002E78D8" w:rsidP="002E78D8">
      <w:pPr>
        <w:ind w:left="567"/>
        <w:jc w:val="both"/>
        <w:rPr>
          <w:rFonts w:ascii="Tahoma" w:hAnsi="Tahoma" w:cs="Tahoma"/>
          <w:sz w:val="22"/>
          <w:szCs w:val="22"/>
          <w:lang w:val="es-PE"/>
        </w:rPr>
      </w:pPr>
    </w:p>
    <w:p w:rsidR="002E78D8" w:rsidRDefault="002E78D8" w:rsidP="002E78D8">
      <w:pPr>
        <w:numPr>
          <w:ilvl w:val="0"/>
          <w:numId w:val="1"/>
        </w:numPr>
        <w:tabs>
          <w:tab w:val="num" w:pos="567"/>
        </w:tabs>
        <w:ind w:left="567" w:hanging="567"/>
        <w:jc w:val="both"/>
        <w:rPr>
          <w:rFonts w:ascii="Tahoma" w:hAnsi="Tahoma" w:cs="Tahoma"/>
          <w:sz w:val="22"/>
          <w:szCs w:val="22"/>
        </w:rPr>
      </w:pPr>
      <w:r>
        <w:rPr>
          <w:rFonts w:ascii="Tahoma" w:hAnsi="Tahoma" w:cs="Tahoma"/>
          <w:sz w:val="22"/>
          <w:szCs w:val="22"/>
        </w:rPr>
        <w:t>Por su parte, el Adjudicatario señaló que en aplicación del Acuerdo de Sala Plena N° 010/2008, el objetivo de las Bases, cuando exige que se acredite “Experiencia del Postor”, es obtener información que acredite la experiencia del Postor en el mercado de venta del bien objeto de la Licitación, es decir que lo que interesa es conocer la experiencia del postor en la venta de bienes a clientes finales, conocer que el Postor cumple con sus obligaciones asumidas frente a los clientes; conocer que dicho postor muestra un correcto desempeño en el mercado en la relación que establece con sus clientes finales.</w:t>
      </w:r>
    </w:p>
    <w:p w:rsidR="002E78D8" w:rsidRDefault="002E78D8" w:rsidP="002E78D8">
      <w:pPr>
        <w:ind w:left="567"/>
        <w:jc w:val="both"/>
        <w:rPr>
          <w:rFonts w:ascii="Tahoma" w:hAnsi="Tahoma" w:cs="Tahoma"/>
          <w:sz w:val="22"/>
          <w:szCs w:val="22"/>
        </w:rPr>
      </w:pPr>
    </w:p>
    <w:p w:rsidR="002E78D8" w:rsidRDefault="002E78D8" w:rsidP="002E78D8">
      <w:pPr>
        <w:ind w:left="567"/>
        <w:jc w:val="both"/>
        <w:rPr>
          <w:rFonts w:ascii="Tahoma" w:hAnsi="Tahoma" w:cs="Tahoma"/>
          <w:sz w:val="22"/>
          <w:szCs w:val="22"/>
        </w:rPr>
      </w:pPr>
      <w:r>
        <w:rPr>
          <w:rFonts w:ascii="Tahoma" w:hAnsi="Tahoma" w:cs="Tahoma"/>
          <w:sz w:val="22"/>
          <w:szCs w:val="22"/>
        </w:rPr>
        <w:t>El Impugnante al presentar el Contrato de Distribución únicamente prueba que tuvo un distribuidor que adquirió el producto, pero quien vende a clientes es el distribuidor (Hersil), el mismo que asume la responsabilidad por la venta, la responsabilidad por la relación con el cliente; en tal sentido, el Impugnante no asume absolutamente ninguna responsabilidad con el cliente final, pues simplemente no tiene relación con ellos; por lo que con el contrato de Distribución no se acredita que tenga experiencia en la venta directa a clientes, ni tampoco demuestra su capacidad para suministrar de manera continua, suficiente e idónea sistemas de diálisis a favor de Entidades Públicas, todo lo contrario, se acredita que prefirió no asumir el riesgo frente a clientes finales y optó por trasladar dicho riesgo a un distribuidor, por lo tanto, el Impugnante no tiene experiencia en el trato directo con clientes en la atención de sus demandas, ni el know – how suficiente para el abastecimiento, tal como se puede apreciar en las cláusulas 5.7 y 6.5, toda vez que no vende ni tiene contacto con los clientes, al limitarse a proporcionar productos a su distribuidor</w:t>
      </w:r>
    </w:p>
    <w:p w:rsidR="002E78D8" w:rsidRDefault="002E78D8" w:rsidP="002E78D8">
      <w:pPr>
        <w:ind w:left="567"/>
        <w:jc w:val="both"/>
        <w:rPr>
          <w:rFonts w:ascii="Tahoma" w:hAnsi="Tahoma" w:cs="Tahoma"/>
          <w:sz w:val="22"/>
          <w:szCs w:val="22"/>
        </w:rPr>
      </w:pPr>
    </w:p>
    <w:p w:rsidR="002E78D8" w:rsidRDefault="002E78D8" w:rsidP="002E78D8">
      <w:pPr>
        <w:pStyle w:val="Prrafodelista"/>
        <w:ind w:left="567"/>
        <w:jc w:val="both"/>
        <w:rPr>
          <w:rFonts w:ascii="Tahoma" w:hAnsi="Tahoma" w:cs="Tahoma"/>
          <w:sz w:val="22"/>
          <w:szCs w:val="22"/>
        </w:rPr>
      </w:pPr>
      <w:r>
        <w:rPr>
          <w:rFonts w:ascii="Tahoma" w:hAnsi="Tahoma" w:cs="Tahoma"/>
          <w:sz w:val="22"/>
          <w:szCs w:val="22"/>
        </w:rPr>
        <w:t>Por lo tanto, un contrato de compraventa es distinto a un contrato de distribución, toda vez que con el primero se busca verificar que el postor tenga experiencia en la venta de los productos materia de licitación, y en específico, si tiene la capacidad suficiente para, durante la vigencia de un contrato, mantener un suministro continuo a favor de un cliente de manera idónea, mientras que un contrato de distribución únicamente acredita que el postor tiene un distribuidor y que ha mantenido una relación con el mismo por un plazo determinado, y será dicho distribuidor el que comercializa y vende a clientes el producto respectivo.</w:t>
      </w:r>
    </w:p>
    <w:p w:rsidR="002E78D8" w:rsidRDefault="002E78D8" w:rsidP="002E78D8">
      <w:pPr>
        <w:ind w:left="567"/>
        <w:jc w:val="both"/>
        <w:rPr>
          <w:rFonts w:ascii="Tahoma" w:hAnsi="Tahoma" w:cs="Tahoma"/>
          <w:sz w:val="22"/>
          <w:szCs w:val="22"/>
        </w:rPr>
      </w:pPr>
    </w:p>
    <w:p w:rsidR="002E78D8" w:rsidRDefault="002E78D8" w:rsidP="002E78D8">
      <w:pPr>
        <w:numPr>
          <w:ilvl w:val="0"/>
          <w:numId w:val="1"/>
        </w:numPr>
        <w:tabs>
          <w:tab w:val="num" w:pos="567"/>
        </w:tabs>
        <w:ind w:left="567" w:hanging="567"/>
        <w:jc w:val="both"/>
        <w:rPr>
          <w:rFonts w:ascii="Tahoma" w:hAnsi="Tahoma" w:cs="Tahoma"/>
          <w:sz w:val="22"/>
          <w:szCs w:val="22"/>
        </w:rPr>
      </w:pPr>
      <w:r>
        <w:rPr>
          <w:rFonts w:ascii="Tahoma" w:hAnsi="Tahoma" w:cs="Tahoma"/>
          <w:sz w:val="22"/>
          <w:szCs w:val="22"/>
        </w:rPr>
        <w:t>Por otro lado, l</w:t>
      </w:r>
      <w:r w:rsidRPr="003E24AD">
        <w:rPr>
          <w:rFonts w:ascii="Tahoma" w:hAnsi="Tahoma" w:cs="Tahoma"/>
          <w:sz w:val="22"/>
          <w:szCs w:val="22"/>
        </w:rPr>
        <w:t>a Entidad señaló q</w:t>
      </w:r>
      <w:r>
        <w:rPr>
          <w:rFonts w:ascii="Tahoma" w:hAnsi="Tahoma" w:cs="Tahoma"/>
          <w:sz w:val="22"/>
          <w:szCs w:val="22"/>
        </w:rPr>
        <w:t>ue de la propuesta técnica del</w:t>
      </w:r>
      <w:r w:rsidRPr="003E24AD">
        <w:rPr>
          <w:rFonts w:ascii="Tahoma" w:hAnsi="Tahoma" w:cs="Tahoma"/>
          <w:sz w:val="22"/>
          <w:szCs w:val="22"/>
        </w:rPr>
        <w:t xml:space="preserve"> Impugnante se advierte que obra a fojas 719 el Anexo 6 “Documentos relativos a la acreditación del factor referido a la experiencia del Postor”, en el que se adjunta un Contrato de Distribución Exclusiva suscrito entre Laboratorios Baxter del Perú S.A. y Laboratorios Hersil S.A., de fecha 18 de mayo del 2006, cuyo monto de ejecución es de S/. 14,329,659.11 y como monto efectivamente ejecutado la suma de S/. 14,329,659.11; en tal sentido, </w:t>
      </w:r>
      <w:r>
        <w:rPr>
          <w:rFonts w:ascii="Tahoma" w:hAnsi="Tahoma" w:cs="Tahoma"/>
          <w:sz w:val="22"/>
          <w:szCs w:val="22"/>
        </w:rPr>
        <w:t xml:space="preserve">informó que </w:t>
      </w:r>
      <w:r w:rsidRPr="003E24AD">
        <w:rPr>
          <w:rFonts w:ascii="Tahoma" w:hAnsi="Tahoma" w:cs="Tahoma"/>
          <w:sz w:val="22"/>
          <w:szCs w:val="22"/>
        </w:rPr>
        <w:t>de la revisión de la integridad del referido contrato se advierte que lleva implícito elementos de una compraventa de medicinas y material médico, haciéndose referencia a los pr</w:t>
      </w:r>
      <w:r>
        <w:rPr>
          <w:rFonts w:ascii="Tahoma" w:hAnsi="Tahoma" w:cs="Tahoma"/>
          <w:sz w:val="22"/>
          <w:szCs w:val="22"/>
        </w:rPr>
        <w:t>oductos indicados en el Anexo 1, los mismos que tiene relación con el objeto de convocatoria, tal como se puede evidenciar en el folio 721 de su propuesta técnica.</w:t>
      </w:r>
    </w:p>
    <w:p w:rsidR="002E78D8" w:rsidRDefault="002E78D8" w:rsidP="002E78D8">
      <w:pPr>
        <w:ind w:left="567"/>
        <w:jc w:val="both"/>
        <w:rPr>
          <w:rFonts w:ascii="Tahoma" w:hAnsi="Tahoma" w:cs="Tahoma"/>
          <w:sz w:val="22"/>
          <w:szCs w:val="22"/>
        </w:rPr>
      </w:pPr>
    </w:p>
    <w:p w:rsidR="002E78D8" w:rsidRDefault="002E78D8" w:rsidP="002E78D8">
      <w:pPr>
        <w:pStyle w:val="Prrafodelista"/>
        <w:ind w:left="567"/>
        <w:jc w:val="both"/>
        <w:rPr>
          <w:rFonts w:ascii="Tahoma" w:hAnsi="Tahoma" w:cs="Tahoma"/>
          <w:sz w:val="22"/>
          <w:szCs w:val="22"/>
        </w:rPr>
      </w:pPr>
      <w:r>
        <w:rPr>
          <w:rFonts w:ascii="Tahoma" w:hAnsi="Tahoma" w:cs="Tahoma"/>
          <w:sz w:val="22"/>
          <w:szCs w:val="22"/>
        </w:rPr>
        <w:t>Asimismo, señaló que resulta válida la “Constancia de Prestación”, que obra a fojas 771 y 772, suscrita por los representantes de la empresa Hersil S.A. Laboratorios Industriales Farmacéuticos, por lo que corresponde otorgar el puntaje respectivo en el factor “Cumplimiento de la Prestación”, de conformidad con lo establecido en las Bases del proceso.</w:t>
      </w:r>
    </w:p>
    <w:p w:rsidR="002E78D8" w:rsidRDefault="002E78D8" w:rsidP="002E78D8">
      <w:pPr>
        <w:ind w:left="567"/>
        <w:jc w:val="both"/>
        <w:rPr>
          <w:rFonts w:ascii="Tahoma" w:hAnsi="Tahoma" w:cs="Tahoma"/>
          <w:sz w:val="22"/>
          <w:szCs w:val="22"/>
        </w:rPr>
      </w:pPr>
    </w:p>
    <w:p w:rsidR="002E78D8" w:rsidRDefault="002E78D8" w:rsidP="002E78D8">
      <w:pPr>
        <w:numPr>
          <w:ilvl w:val="0"/>
          <w:numId w:val="1"/>
        </w:numPr>
        <w:tabs>
          <w:tab w:val="num" w:pos="567"/>
        </w:tabs>
        <w:ind w:left="567" w:hanging="567"/>
        <w:jc w:val="both"/>
        <w:rPr>
          <w:rFonts w:ascii="Tahoma" w:hAnsi="Tahoma" w:cs="Tahoma"/>
          <w:sz w:val="22"/>
          <w:szCs w:val="22"/>
        </w:rPr>
      </w:pPr>
      <w:r>
        <w:rPr>
          <w:rFonts w:ascii="Tahoma" w:hAnsi="Tahoma" w:cs="Tahoma"/>
          <w:sz w:val="22"/>
          <w:szCs w:val="22"/>
        </w:rPr>
        <w:lastRenderedPageBreak/>
        <w:t>Respecto a todo lo señalado, cabe precisar que en el capítulo II Sección Específica “Condiciones Especiales del Proceso de Selección” de las Bases Integradas se estableció lo siguiente:</w:t>
      </w:r>
    </w:p>
    <w:p w:rsidR="002E78D8" w:rsidRDefault="002E78D8" w:rsidP="002E78D8">
      <w:pPr>
        <w:jc w:val="both"/>
        <w:rPr>
          <w:rFonts w:ascii="Tahoma" w:hAnsi="Tahoma" w:cs="Tahoma"/>
          <w:sz w:val="22"/>
          <w:szCs w:val="22"/>
        </w:rPr>
      </w:pPr>
    </w:p>
    <w:p w:rsidR="002E78D8" w:rsidRPr="006D6535" w:rsidRDefault="002E78D8" w:rsidP="002E78D8">
      <w:pPr>
        <w:pStyle w:val="WW-Textosinformato"/>
        <w:tabs>
          <w:tab w:val="center" w:pos="6402"/>
          <w:tab w:val="right" w:pos="10821"/>
        </w:tabs>
        <w:ind w:left="1418" w:right="425" w:hanging="284"/>
        <w:jc w:val="both"/>
        <w:rPr>
          <w:rFonts w:ascii="Tahoma" w:hAnsi="Tahoma" w:cs="Tahoma"/>
          <w:b/>
          <w:i/>
          <w:sz w:val="18"/>
          <w:szCs w:val="18"/>
          <w:lang w:val="es-ES"/>
        </w:rPr>
      </w:pPr>
      <w:r w:rsidRPr="006D6535">
        <w:rPr>
          <w:rFonts w:ascii="Tahoma" w:hAnsi="Tahoma" w:cs="Tahoma"/>
          <w:b/>
          <w:i/>
          <w:sz w:val="18"/>
          <w:szCs w:val="18"/>
          <w:lang w:val="es-ES"/>
        </w:rPr>
        <w:t>“2.10.1.2 Documentación de presentación facultativa:</w:t>
      </w:r>
    </w:p>
    <w:p w:rsidR="002E78D8" w:rsidRPr="006D6535" w:rsidRDefault="002E78D8" w:rsidP="002E78D8">
      <w:pPr>
        <w:pStyle w:val="WW-Textosinformato"/>
        <w:tabs>
          <w:tab w:val="right" w:pos="10821"/>
        </w:tabs>
        <w:ind w:left="1418" w:right="425"/>
        <w:jc w:val="both"/>
        <w:rPr>
          <w:rFonts w:ascii="Tahoma" w:hAnsi="Tahoma" w:cs="Tahoma"/>
          <w:b/>
          <w:i/>
          <w:sz w:val="18"/>
          <w:szCs w:val="18"/>
        </w:rPr>
      </w:pPr>
    </w:p>
    <w:p w:rsidR="002E78D8" w:rsidRPr="006D6535" w:rsidRDefault="002E78D8" w:rsidP="002E78D8">
      <w:pPr>
        <w:pStyle w:val="WW-Textosinformato"/>
        <w:numPr>
          <w:ilvl w:val="0"/>
          <w:numId w:val="34"/>
        </w:numPr>
        <w:tabs>
          <w:tab w:val="right" w:pos="10821"/>
        </w:tabs>
        <w:ind w:right="425"/>
        <w:jc w:val="both"/>
        <w:rPr>
          <w:rFonts w:ascii="Tahoma" w:hAnsi="Tahoma" w:cs="Tahoma"/>
          <w:b/>
          <w:i/>
          <w:sz w:val="18"/>
          <w:szCs w:val="18"/>
        </w:rPr>
      </w:pPr>
      <w:r w:rsidRPr="006D6535">
        <w:rPr>
          <w:rFonts w:ascii="Tahoma" w:hAnsi="Tahoma" w:cs="Tahoma"/>
          <w:b/>
          <w:i/>
          <w:sz w:val="18"/>
          <w:szCs w:val="18"/>
          <w:lang w:val="es-ES"/>
        </w:rPr>
        <w:t xml:space="preserve">Documentos relativos a la acreditación del factor referido a la experiencia del postor </w:t>
      </w:r>
      <w:r w:rsidRPr="006D6535">
        <w:rPr>
          <w:rFonts w:ascii="Tahoma" w:hAnsi="Tahoma" w:cs="Tahoma"/>
          <w:b/>
          <w:i/>
          <w:sz w:val="18"/>
          <w:szCs w:val="18"/>
        </w:rPr>
        <w:t>(original).</w:t>
      </w:r>
    </w:p>
    <w:p w:rsidR="002E78D8" w:rsidRPr="006D6535" w:rsidRDefault="002E78D8" w:rsidP="002E78D8">
      <w:pPr>
        <w:pStyle w:val="Textoindependiente"/>
        <w:ind w:left="1418" w:right="425"/>
        <w:rPr>
          <w:rFonts w:cs="Tahoma"/>
          <w:i/>
          <w:sz w:val="18"/>
          <w:szCs w:val="18"/>
          <w:lang w:val="es-PE"/>
        </w:rPr>
      </w:pPr>
    </w:p>
    <w:p w:rsidR="002E78D8" w:rsidRPr="006D6535" w:rsidRDefault="002E78D8" w:rsidP="002E78D8">
      <w:pPr>
        <w:pStyle w:val="Textoindependiente"/>
        <w:ind w:left="1418" w:right="425"/>
        <w:rPr>
          <w:rFonts w:cs="Tahoma"/>
          <w:i/>
          <w:sz w:val="18"/>
          <w:szCs w:val="18"/>
          <w:lang w:val="es-PE"/>
        </w:rPr>
      </w:pPr>
      <w:r w:rsidRPr="006D6535">
        <w:rPr>
          <w:rFonts w:cs="Tahoma"/>
          <w:i/>
          <w:sz w:val="18"/>
          <w:szCs w:val="18"/>
          <w:lang w:val="es-PE"/>
        </w:rPr>
        <w:t xml:space="preserve">Según el modelo del </w:t>
      </w:r>
      <w:r w:rsidRPr="006D6535">
        <w:rPr>
          <w:rFonts w:cs="Tahoma"/>
          <w:b/>
          <w:i/>
          <w:sz w:val="18"/>
          <w:szCs w:val="18"/>
          <w:lang w:val="es-PE"/>
        </w:rPr>
        <w:t xml:space="preserve">Anexo </w:t>
      </w:r>
      <w:r w:rsidRPr="006D6535">
        <w:rPr>
          <w:rFonts w:cs="Tahoma"/>
          <w:b/>
          <w:i/>
          <w:sz w:val="18"/>
          <w:szCs w:val="18"/>
        </w:rPr>
        <w:t>Nº</w:t>
      </w:r>
      <w:r w:rsidRPr="006D6535">
        <w:rPr>
          <w:rFonts w:cs="Tahoma"/>
          <w:b/>
          <w:i/>
          <w:sz w:val="18"/>
          <w:szCs w:val="18"/>
          <w:lang w:val="es-PE"/>
        </w:rPr>
        <w:t xml:space="preserve"> 10</w:t>
      </w:r>
      <w:r w:rsidRPr="006D6535">
        <w:rPr>
          <w:rFonts w:cs="Tahoma"/>
          <w:i/>
          <w:sz w:val="18"/>
          <w:szCs w:val="18"/>
          <w:lang w:val="es-PE"/>
        </w:rPr>
        <w:t xml:space="preserve">. </w:t>
      </w:r>
    </w:p>
    <w:p w:rsidR="002E78D8" w:rsidRPr="006D6535" w:rsidRDefault="002E78D8" w:rsidP="002E78D8">
      <w:pPr>
        <w:pStyle w:val="BodyTextIndent31"/>
        <w:widowControl/>
        <w:spacing w:after="120"/>
        <w:ind w:left="1418" w:right="283"/>
        <w:rPr>
          <w:rFonts w:ascii="Tahoma" w:hAnsi="Tahoma" w:cs="Tahoma"/>
          <w:b/>
          <w:i/>
          <w:sz w:val="18"/>
          <w:szCs w:val="18"/>
        </w:rPr>
      </w:pPr>
      <w:r w:rsidRPr="006D6535">
        <w:rPr>
          <w:rFonts w:ascii="Tahoma" w:hAnsi="Tahoma" w:cs="Tahoma"/>
          <w:i/>
          <w:sz w:val="18"/>
          <w:szCs w:val="18"/>
        </w:rPr>
        <w:t>Para efecto de obtener el puntaje señalado para este factor en el Capítulo V, el postor deberá necesariamente presentar</w:t>
      </w:r>
      <w:r w:rsidRPr="006D6535">
        <w:rPr>
          <w:rFonts w:ascii="Tahoma" w:hAnsi="Tahoma" w:cs="Tahoma"/>
          <w:b/>
          <w:i/>
          <w:sz w:val="18"/>
          <w:szCs w:val="18"/>
        </w:rPr>
        <w:t xml:space="preserve"> </w:t>
      </w:r>
      <w:r w:rsidRPr="006D6535">
        <w:rPr>
          <w:rFonts w:ascii="Tahoma" w:hAnsi="Tahoma" w:cs="Tahoma"/>
          <w:i/>
          <w:sz w:val="18"/>
          <w:szCs w:val="18"/>
        </w:rPr>
        <w:t>copia simple</w:t>
      </w:r>
      <w:r w:rsidRPr="006D6535">
        <w:rPr>
          <w:rFonts w:ascii="Tahoma" w:hAnsi="Tahoma" w:cs="Tahoma"/>
          <w:b/>
          <w:i/>
          <w:sz w:val="18"/>
          <w:szCs w:val="18"/>
        </w:rPr>
        <w:t xml:space="preserve"> </w:t>
      </w:r>
      <w:r w:rsidRPr="006D6535">
        <w:rPr>
          <w:rFonts w:ascii="Tahoma" w:hAnsi="Tahoma" w:cs="Tahoma"/>
          <w:i/>
          <w:sz w:val="18"/>
          <w:szCs w:val="18"/>
        </w:rPr>
        <w:t>de los contratos con su respectiva conformidad o comprobantes de pago cuya cancelación se acredite documental y fehacientemente  (no se aceptarán Declaraciones Juradas),</w:t>
      </w:r>
      <w:r w:rsidRPr="006D6535">
        <w:rPr>
          <w:rFonts w:ascii="Tahoma" w:hAnsi="Tahoma" w:cs="Tahoma"/>
          <w:b/>
          <w:i/>
          <w:sz w:val="18"/>
          <w:szCs w:val="18"/>
        </w:rPr>
        <w:t xml:space="preserve"> </w:t>
      </w:r>
      <w:r w:rsidRPr="006D6535">
        <w:rPr>
          <w:rFonts w:ascii="Tahoma" w:hAnsi="Tahoma" w:cs="Tahoma"/>
          <w:i/>
          <w:sz w:val="18"/>
          <w:szCs w:val="18"/>
        </w:rPr>
        <w:t>referidos a la venta de Sistemas de Diálisis Peritoneal Automatizado Continua (DIPAC) a personas naturales o jurídicas (empresas, instituciones o entidades afines, públicas o privadas), hasta por un número máximo de 20 (veinte) contrataciones sin importar el número de documentos que lo sustenten con una antigüedad de emisión o suscripción no mayor de cinco (</w:t>
      </w:r>
      <w:r w:rsidRPr="006D6535">
        <w:rPr>
          <w:rFonts w:ascii="Tahoma" w:hAnsi="Tahoma" w:cs="Tahoma"/>
          <w:b/>
          <w:i/>
          <w:sz w:val="18"/>
          <w:szCs w:val="18"/>
        </w:rPr>
        <w:t>05</w:t>
      </w:r>
      <w:r w:rsidRPr="006D6535">
        <w:rPr>
          <w:rFonts w:ascii="Tahoma" w:hAnsi="Tahoma" w:cs="Tahoma"/>
          <w:i/>
          <w:sz w:val="18"/>
          <w:szCs w:val="18"/>
        </w:rPr>
        <w:t>) años contados a partir de la fecha de Presentación de Propuestas.</w:t>
      </w:r>
      <w:r w:rsidRPr="006D6535">
        <w:rPr>
          <w:rFonts w:ascii="Tahoma" w:hAnsi="Tahoma" w:cs="Tahoma"/>
          <w:b/>
          <w:i/>
          <w:sz w:val="18"/>
          <w:szCs w:val="18"/>
        </w:rPr>
        <w:t xml:space="preserve"> </w:t>
      </w:r>
    </w:p>
    <w:p w:rsidR="002E78D8" w:rsidRPr="006D6535" w:rsidRDefault="002E78D8" w:rsidP="002E78D8">
      <w:pPr>
        <w:pStyle w:val="BodyTextIndent31"/>
        <w:widowControl/>
        <w:spacing w:after="120"/>
        <w:ind w:left="1418" w:right="283"/>
        <w:rPr>
          <w:rFonts w:ascii="Tahoma" w:hAnsi="Tahoma" w:cs="Tahoma"/>
          <w:i/>
          <w:sz w:val="18"/>
          <w:szCs w:val="18"/>
        </w:rPr>
      </w:pPr>
      <w:r w:rsidRPr="006D6535">
        <w:rPr>
          <w:rFonts w:ascii="Tahoma" w:hAnsi="Tahoma" w:cs="Tahoma"/>
          <w:b/>
          <w:i/>
          <w:sz w:val="18"/>
          <w:szCs w:val="18"/>
        </w:rPr>
        <w:t>S</w:t>
      </w:r>
      <w:r w:rsidRPr="006D6535">
        <w:rPr>
          <w:rFonts w:ascii="Tahoma" w:hAnsi="Tahoma" w:cs="Tahoma"/>
          <w:i/>
          <w:sz w:val="18"/>
          <w:szCs w:val="18"/>
        </w:rPr>
        <w:t>e indica que con la finalidad de acreditar la cancelación de los comprobantes de pago (documental y fehacientemente), el postor deberá presentar entre otros, lo siguiente: voucher de depósito, reporte de estado de cuenta o que la cancelación conste en el mismo comprobante de pago.</w:t>
      </w:r>
    </w:p>
    <w:p w:rsidR="002E78D8" w:rsidRPr="006D6535" w:rsidRDefault="002E78D8" w:rsidP="002E78D8">
      <w:pPr>
        <w:ind w:left="1418" w:right="283"/>
        <w:jc w:val="both"/>
        <w:rPr>
          <w:rFonts w:ascii="Arial" w:hAnsi="Arial" w:cs="Arial"/>
          <w:i/>
          <w:sz w:val="18"/>
          <w:szCs w:val="18"/>
          <w:lang w:val="es-PE"/>
        </w:rPr>
      </w:pPr>
    </w:p>
    <w:p w:rsidR="002E78D8" w:rsidRPr="006D6535" w:rsidRDefault="002E78D8" w:rsidP="002E78D8">
      <w:pPr>
        <w:ind w:left="1418" w:right="283"/>
        <w:jc w:val="both"/>
        <w:rPr>
          <w:rFonts w:ascii="Tahoma" w:hAnsi="Tahoma" w:cs="Tahoma"/>
          <w:i/>
          <w:sz w:val="18"/>
          <w:szCs w:val="18"/>
          <w:lang w:eastAsia="ja-JP"/>
        </w:rPr>
      </w:pPr>
      <w:r w:rsidRPr="006D6535">
        <w:rPr>
          <w:rFonts w:ascii="Tahoma" w:hAnsi="Tahoma" w:cs="Tahoma"/>
          <w:i/>
          <w:sz w:val="18"/>
          <w:szCs w:val="18"/>
          <w:lang w:eastAsia="ja-JP"/>
        </w:rPr>
        <w:t>En el caso de suministro de bienes que aún se encuentren en ejecución, la experiencia se podrá acreditar con la presentación de copias de los contratos y los comprobantes correspondientes a las prestaciones efectivamente ejecutadas. (Pronunciamiento Nº 397-2008/DOP).</w:t>
      </w:r>
    </w:p>
    <w:p w:rsidR="002E78D8" w:rsidRPr="006D6535" w:rsidRDefault="002E78D8" w:rsidP="002E78D8">
      <w:pPr>
        <w:ind w:left="1418" w:right="283"/>
        <w:jc w:val="both"/>
        <w:rPr>
          <w:rFonts w:ascii="Tahoma" w:hAnsi="Tahoma" w:cs="Tahoma"/>
          <w:i/>
          <w:sz w:val="18"/>
          <w:szCs w:val="18"/>
          <w:lang w:eastAsia="ja-JP"/>
        </w:rPr>
      </w:pPr>
    </w:p>
    <w:p w:rsidR="002E78D8" w:rsidRPr="006D6535" w:rsidRDefault="002E78D8" w:rsidP="002E78D8">
      <w:pPr>
        <w:pStyle w:val="BodyTextIndent31"/>
        <w:widowControl/>
        <w:spacing w:after="120"/>
        <w:ind w:left="1418" w:right="283"/>
        <w:rPr>
          <w:rFonts w:ascii="Tahoma" w:hAnsi="Tahoma" w:cs="Tahoma"/>
          <w:b/>
          <w:i/>
          <w:sz w:val="18"/>
          <w:szCs w:val="18"/>
        </w:rPr>
      </w:pPr>
      <w:r w:rsidRPr="006D6535">
        <w:rPr>
          <w:rFonts w:ascii="Tahoma" w:hAnsi="Tahoma" w:cs="Tahoma"/>
          <w:i/>
          <w:sz w:val="18"/>
          <w:szCs w:val="18"/>
        </w:rPr>
        <w:t>Cabe precisar, que sólo se otorgará puntaje por aquella parte de los contratos cuyas prestaciones se ejecutaron dentro del período de evaluación señalado en las Bases (cinco (05) años anteriores a la fecha de presentación de propuestas), independientemente de su fecha de inicio.</w:t>
      </w:r>
    </w:p>
    <w:p w:rsidR="002E78D8" w:rsidRPr="006D6535" w:rsidRDefault="002E78D8" w:rsidP="002E78D8">
      <w:pPr>
        <w:ind w:left="1418" w:right="283"/>
        <w:jc w:val="both"/>
        <w:rPr>
          <w:rFonts w:ascii="Tahoma" w:hAnsi="Tahoma" w:cs="Tahoma"/>
          <w:b/>
          <w:i/>
          <w:sz w:val="18"/>
          <w:szCs w:val="18"/>
          <w:lang w:val="es-PE"/>
        </w:rPr>
      </w:pPr>
      <w:r w:rsidRPr="006D6535">
        <w:rPr>
          <w:rFonts w:ascii="Tahoma" w:hAnsi="Tahoma" w:cs="Tahoma"/>
          <w:b/>
          <w:i/>
          <w:sz w:val="18"/>
          <w:szCs w:val="18"/>
          <w:lang w:val="es-PE"/>
        </w:rPr>
        <w:t>Cabe señalar, que en caso que se presenten contratos con prestaciones parciales que se hubieran ejecutado dentro del período de evaluación indicado en las Bases, se tomará en consideración para la evaluación de la experiencia del postor, considerando como una sola contratación el total de las prestaciones periódicas que la conforman, siendo que se haya culminado dentro del período de evaluación  de la experiencia del postor.</w:t>
      </w:r>
    </w:p>
    <w:p w:rsidR="002E78D8" w:rsidRPr="006D6535" w:rsidRDefault="002E78D8" w:rsidP="002E78D8">
      <w:pPr>
        <w:pStyle w:val="Textoindependiente"/>
        <w:ind w:left="1418" w:right="283"/>
        <w:rPr>
          <w:rFonts w:cs="Tahoma"/>
          <w:i/>
          <w:sz w:val="18"/>
          <w:szCs w:val="18"/>
        </w:rPr>
      </w:pPr>
    </w:p>
    <w:p w:rsidR="002E78D8" w:rsidRPr="006D6535" w:rsidRDefault="002E78D8" w:rsidP="002E78D8">
      <w:pPr>
        <w:pStyle w:val="Sangra3detindependiente"/>
        <w:ind w:left="1418" w:right="283"/>
        <w:jc w:val="both"/>
        <w:rPr>
          <w:rFonts w:ascii="Tahoma" w:hAnsi="Tahoma" w:cs="Tahoma"/>
          <w:i/>
          <w:sz w:val="18"/>
          <w:szCs w:val="18"/>
          <w:lang w:val="es-PE"/>
        </w:rPr>
      </w:pPr>
      <w:r w:rsidRPr="006D6535">
        <w:rPr>
          <w:rFonts w:ascii="Tahoma" w:hAnsi="Tahoma" w:cs="Tahoma"/>
          <w:i/>
          <w:sz w:val="18"/>
          <w:szCs w:val="18"/>
          <w:lang w:val="es-PE"/>
        </w:rPr>
        <w:t xml:space="preserve">Respecto a las ofertas de postores que para acreditar su experiencia empresarial presenten documentos de procesos de selección en los que hayan participado en consorcio; deberán anexar la promesa formal de consorcio que presentaron para el referido proceso de selección, el cual debe contemplar, entre otros, </w:t>
      </w:r>
      <w:r w:rsidRPr="006D6535">
        <w:rPr>
          <w:rFonts w:ascii="Tahoma" w:hAnsi="Tahoma" w:cs="Tahoma"/>
          <w:i/>
          <w:sz w:val="18"/>
          <w:szCs w:val="18"/>
          <w:u w:val="single"/>
          <w:lang w:val="es-PE"/>
        </w:rPr>
        <w:t>el detalle de las obligaciones de cada uno de sus</w:t>
      </w:r>
      <w:r w:rsidRPr="006D6535">
        <w:rPr>
          <w:rFonts w:ascii="Tahoma" w:hAnsi="Tahoma" w:cs="Tahoma"/>
          <w:i/>
          <w:sz w:val="18"/>
          <w:szCs w:val="18"/>
          <w:lang w:val="es-PE"/>
        </w:rPr>
        <w:t xml:space="preserve"> </w:t>
      </w:r>
      <w:r w:rsidRPr="006D6535">
        <w:rPr>
          <w:rFonts w:ascii="Tahoma" w:hAnsi="Tahoma" w:cs="Tahoma"/>
          <w:i/>
          <w:sz w:val="18"/>
          <w:szCs w:val="18"/>
          <w:u w:val="single"/>
          <w:lang w:val="es-PE"/>
        </w:rPr>
        <w:t>integrantes y su porcentaje de participación</w:t>
      </w:r>
      <w:r w:rsidRPr="006D6535">
        <w:rPr>
          <w:rFonts w:ascii="Tahoma" w:hAnsi="Tahoma" w:cs="Tahoma"/>
          <w:i/>
          <w:sz w:val="18"/>
          <w:szCs w:val="18"/>
          <w:lang w:val="es-PE"/>
        </w:rPr>
        <w:t>; en el supuesto que en dicha promesa formal no se haya indicado la información en mención, deberá presentarse además una declaración jurada en la que se detalle la información señalada.</w:t>
      </w:r>
    </w:p>
    <w:p w:rsidR="002E78D8" w:rsidRPr="006D6535" w:rsidRDefault="002E78D8" w:rsidP="002E78D8">
      <w:pPr>
        <w:ind w:left="1418" w:right="283"/>
        <w:jc w:val="both"/>
        <w:rPr>
          <w:rFonts w:ascii="Tahoma" w:hAnsi="Tahoma" w:cs="Tahoma"/>
          <w:i/>
          <w:sz w:val="18"/>
          <w:szCs w:val="18"/>
        </w:rPr>
      </w:pPr>
    </w:p>
    <w:p w:rsidR="002E78D8" w:rsidRPr="006D6535" w:rsidRDefault="002E78D8" w:rsidP="002E78D8">
      <w:pPr>
        <w:ind w:left="1418" w:right="283"/>
        <w:jc w:val="both"/>
        <w:rPr>
          <w:rFonts w:ascii="Tahoma" w:hAnsi="Tahoma" w:cs="Tahoma"/>
          <w:i/>
          <w:sz w:val="18"/>
          <w:szCs w:val="18"/>
        </w:rPr>
      </w:pPr>
      <w:r w:rsidRPr="006D6535">
        <w:rPr>
          <w:rFonts w:ascii="Tahoma" w:hAnsi="Tahoma" w:cs="Tahoma"/>
          <w:i/>
          <w:sz w:val="18"/>
          <w:szCs w:val="18"/>
        </w:rPr>
        <w:t xml:space="preserve">Finalmente, debe señalarse que la evaluación de la experiencia empresarial de los postores que presenten documentos de anteriores procesos en los que participaron </w:t>
      </w:r>
      <w:r w:rsidRPr="006D6535">
        <w:rPr>
          <w:rFonts w:ascii="Tahoma" w:hAnsi="Tahoma" w:cs="Tahoma"/>
          <w:i/>
          <w:sz w:val="18"/>
          <w:szCs w:val="18"/>
        </w:rPr>
        <w:lastRenderedPageBreak/>
        <w:t xml:space="preserve">en consorcio se realizará tal como lo dispone </w:t>
      </w:r>
      <w:smartTag w:uri="urn:schemas-microsoft-com:office:smarttags" w:element="PersonName">
        <w:smartTagPr>
          <w:attr w:name="ProductID" w:val="la Directiva N"/>
        </w:smartTagPr>
        <w:r w:rsidRPr="006D6535">
          <w:rPr>
            <w:rFonts w:ascii="Tahoma" w:hAnsi="Tahoma" w:cs="Tahoma"/>
            <w:i/>
            <w:sz w:val="18"/>
            <w:szCs w:val="18"/>
          </w:rPr>
          <w:t>la Directiva N</w:t>
        </w:r>
      </w:smartTag>
      <w:r w:rsidRPr="006D6535">
        <w:rPr>
          <w:rFonts w:ascii="Tahoma" w:hAnsi="Tahoma" w:cs="Tahoma"/>
          <w:i/>
          <w:sz w:val="18"/>
          <w:szCs w:val="18"/>
        </w:rPr>
        <w:t>° 003-2003/CONSUCODE/PRE y Directiva N° 008-2006/CONSUCODE/PRE.</w:t>
      </w:r>
    </w:p>
    <w:p w:rsidR="002E78D8" w:rsidRPr="006D6535" w:rsidRDefault="002E78D8" w:rsidP="002E78D8">
      <w:pPr>
        <w:ind w:left="1418" w:right="283"/>
        <w:jc w:val="both"/>
        <w:rPr>
          <w:rFonts w:ascii="Tahoma" w:hAnsi="Tahoma" w:cs="Tahoma"/>
          <w:b/>
          <w:i/>
          <w:sz w:val="18"/>
          <w:szCs w:val="18"/>
          <w:lang w:val="es-PE"/>
        </w:rPr>
      </w:pPr>
    </w:p>
    <w:p w:rsidR="002E78D8" w:rsidRPr="006D6535" w:rsidRDefault="002E78D8" w:rsidP="002E78D8">
      <w:pPr>
        <w:ind w:left="1418" w:right="283"/>
        <w:jc w:val="both"/>
        <w:rPr>
          <w:rFonts w:ascii="Tahoma" w:hAnsi="Tahoma" w:cs="Tahoma"/>
          <w:b/>
          <w:i/>
          <w:sz w:val="18"/>
          <w:szCs w:val="18"/>
        </w:rPr>
      </w:pPr>
      <w:r w:rsidRPr="006D6535">
        <w:rPr>
          <w:rFonts w:ascii="Tahoma" w:hAnsi="Tahoma" w:cs="Tahoma"/>
          <w:b/>
          <w:i/>
          <w:sz w:val="18"/>
          <w:szCs w:val="18"/>
        </w:rPr>
        <w:t>En los casos que, el Postor presente un contrato original y un contrato complementario en virtud al artículo 182° del Reglamento, para efectos de la evaluación, éstos serán considerados como dos contratos independientes.</w:t>
      </w:r>
    </w:p>
    <w:p w:rsidR="002E78D8" w:rsidRPr="006D6535" w:rsidRDefault="002E78D8" w:rsidP="002E78D8">
      <w:pPr>
        <w:ind w:left="1418" w:right="283"/>
        <w:jc w:val="both"/>
        <w:rPr>
          <w:rFonts w:ascii="Tahoma" w:hAnsi="Tahoma" w:cs="Tahoma"/>
          <w:b/>
          <w:i/>
          <w:sz w:val="18"/>
          <w:szCs w:val="18"/>
        </w:rPr>
      </w:pPr>
    </w:p>
    <w:p w:rsidR="002E78D8" w:rsidRPr="006D6535" w:rsidRDefault="002E78D8" w:rsidP="002E78D8">
      <w:pPr>
        <w:ind w:left="1418" w:right="283"/>
        <w:jc w:val="both"/>
        <w:rPr>
          <w:rFonts w:ascii="Tahoma" w:hAnsi="Tahoma" w:cs="Tahoma"/>
          <w:b/>
          <w:i/>
          <w:sz w:val="18"/>
          <w:szCs w:val="18"/>
        </w:rPr>
      </w:pPr>
      <w:r w:rsidRPr="006D6535">
        <w:rPr>
          <w:rFonts w:ascii="Tahoma" w:hAnsi="Tahoma" w:cs="Tahoma"/>
          <w:b/>
          <w:i/>
          <w:sz w:val="18"/>
          <w:szCs w:val="18"/>
        </w:rPr>
        <w:t>En el caso de presentar contratos o facturas en monedas extranjeras, para la conversión a moneda nacional se utilizará el tipo de cambio vigente a la fecha de celebración del contrato o la fecha de emisión de la factura respectiva.</w:t>
      </w:r>
    </w:p>
    <w:p w:rsidR="002E78D8" w:rsidRPr="006D6535" w:rsidRDefault="002E78D8" w:rsidP="002E78D8">
      <w:pPr>
        <w:ind w:left="1418" w:right="283"/>
        <w:jc w:val="both"/>
        <w:rPr>
          <w:rFonts w:ascii="Tahoma" w:hAnsi="Tahoma" w:cs="Tahoma"/>
          <w:b/>
          <w:i/>
          <w:sz w:val="18"/>
          <w:szCs w:val="18"/>
        </w:rPr>
      </w:pPr>
    </w:p>
    <w:p w:rsidR="002E78D8" w:rsidRPr="006D6535" w:rsidRDefault="002E78D8" w:rsidP="002E78D8">
      <w:pPr>
        <w:ind w:left="1418" w:right="283"/>
        <w:jc w:val="both"/>
        <w:rPr>
          <w:rFonts w:ascii="Tahoma" w:hAnsi="Tahoma" w:cs="Tahoma"/>
          <w:b/>
          <w:i/>
          <w:sz w:val="18"/>
          <w:szCs w:val="18"/>
        </w:rPr>
      </w:pPr>
      <w:r w:rsidRPr="006D6535">
        <w:rPr>
          <w:rFonts w:ascii="Tahoma" w:hAnsi="Tahoma" w:cs="Tahoma"/>
          <w:b/>
          <w:i/>
          <w:sz w:val="18"/>
          <w:szCs w:val="18"/>
        </w:rPr>
        <w:t>La experiencia del postor está relacionada a la venta de Sistemas de Diálisis Peritoneal Automatizado”.</w:t>
      </w:r>
    </w:p>
    <w:p w:rsidR="002E78D8" w:rsidRPr="006D6535" w:rsidRDefault="002E78D8" w:rsidP="002E78D8">
      <w:pPr>
        <w:jc w:val="both"/>
        <w:rPr>
          <w:rFonts w:ascii="Tahoma" w:hAnsi="Tahoma" w:cs="Tahoma"/>
          <w:sz w:val="22"/>
          <w:szCs w:val="22"/>
        </w:rPr>
      </w:pPr>
    </w:p>
    <w:p w:rsidR="002E78D8" w:rsidRPr="00A33E45" w:rsidRDefault="002E78D8" w:rsidP="002E78D8">
      <w:pPr>
        <w:numPr>
          <w:ilvl w:val="0"/>
          <w:numId w:val="1"/>
        </w:numPr>
        <w:tabs>
          <w:tab w:val="num" w:pos="567"/>
        </w:tabs>
        <w:ind w:left="567" w:hanging="567"/>
        <w:jc w:val="both"/>
        <w:rPr>
          <w:rFonts w:ascii="Tahoma" w:hAnsi="Tahoma" w:cs="Tahoma"/>
          <w:sz w:val="22"/>
          <w:szCs w:val="22"/>
        </w:rPr>
      </w:pPr>
      <w:r>
        <w:rPr>
          <w:rFonts w:ascii="Tahoma" w:hAnsi="Tahoma" w:cs="Tahoma"/>
          <w:sz w:val="22"/>
          <w:szCs w:val="22"/>
        </w:rPr>
        <w:t>Nó</w:t>
      </w:r>
      <w:r w:rsidRPr="00A33E45">
        <w:rPr>
          <w:rFonts w:ascii="Tahoma" w:hAnsi="Tahoma" w:cs="Tahoma"/>
          <w:sz w:val="22"/>
          <w:szCs w:val="22"/>
        </w:rPr>
        <w:t xml:space="preserve">tese entonces, que </w:t>
      </w:r>
      <w:r w:rsidRPr="00A33E45">
        <w:rPr>
          <w:rFonts w:ascii="Tahoma" w:hAnsi="Tahoma" w:cs="Tahoma"/>
          <w:color w:val="000000"/>
          <w:sz w:val="22"/>
          <w:szCs w:val="22"/>
        </w:rPr>
        <w:t>conforme a reiterados y uniformes pronunciamientos del Tribunal, la experiencia</w:t>
      </w:r>
      <w:r>
        <w:rPr>
          <w:rFonts w:ascii="Tahoma" w:hAnsi="Tahoma" w:cs="Tahoma"/>
          <w:color w:val="000000"/>
          <w:sz w:val="22"/>
          <w:szCs w:val="22"/>
        </w:rPr>
        <w:t xml:space="preserve"> del postor</w:t>
      </w:r>
      <w:r w:rsidRPr="00A33E45">
        <w:rPr>
          <w:rFonts w:ascii="Tahoma" w:hAnsi="Tahoma" w:cs="Tahoma"/>
          <w:color w:val="000000"/>
          <w:sz w:val="22"/>
          <w:szCs w:val="22"/>
        </w:rPr>
        <w:t xml:space="preserve"> es la práctica reiterada de una conducta en el tiempo, lo que otorga pericia</w:t>
      </w:r>
      <w:r>
        <w:rPr>
          <w:rFonts w:ascii="Tahoma" w:hAnsi="Tahoma" w:cs="Tahoma"/>
          <w:color w:val="000000"/>
          <w:sz w:val="22"/>
          <w:szCs w:val="22"/>
        </w:rPr>
        <w:t>, destreza o habilidad</w:t>
      </w:r>
      <w:r w:rsidRPr="00A33E45">
        <w:rPr>
          <w:rFonts w:ascii="Tahoma" w:hAnsi="Tahoma" w:cs="Tahoma"/>
          <w:color w:val="000000"/>
          <w:sz w:val="22"/>
          <w:szCs w:val="22"/>
        </w:rPr>
        <w:t xml:space="preserve"> en la ejecución de cierta actividad. Por lo tanto, con la evaluación de la experiencia, se busca calificar la habitualidad comercial del postor en el rubro que se pretende contratar, tanto en la venta de bienes como en la prestación de servicios en general, lo cual constituye una garantía para la Entidad, quien se verá abastecida por empresas que demuestren un correcto y eficiente desempeño en el mercado, lo cual constituye, desde un punto de vista teleológico, la finalidad de evaluar dicha experiencia. En este sentido, y a efectos de cumplir con la finalidad indicada, lo que debe evaluarse son los documentos que evidencien la efectiva ejecución del servicio o la entrega de los bienes, ya que ello acredita la realización de la conducta que nos interesa calificar como experiencia, que en el caso en concreto </w:t>
      </w:r>
      <w:r>
        <w:rPr>
          <w:rFonts w:ascii="Tahoma" w:hAnsi="Tahoma" w:cs="Tahoma"/>
          <w:sz w:val="22"/>
          <w:szCs w:val="22"/>
        </w:rPr>
        <w:t>está</w:t>
      </w:r>
      <w:r w:rsidRPr="00A33E45">
        <w:rPr>
          <w:rFonts w:ascii="Tahoma" w:hAnsi="Tahoma" w:cs="Tahoma"/>
          <w:sz w:val="22"/>
          <w:szCs w:val="22"/>
        </w:rPr>
        <w:t xml:space="preserve"> referido a la venta de Sistemas de Diálisis Peritoneal Automatizado (DIPAC).</w:t>
      </w:r>
    </w:p>
    <w:p w:rsidR="002E78D8" w:rsidRDefault="002E78D8" w:rsidP="002E78D8">
      <w:pPr>
        <w:ind w:left="567"/>
        <w:jc w:val="both"/>
        <w:rPr>
          <w:rFonts w:ascii="Tahoma" w:hAnsi="Tahoma" w:cs="Tahoma"/>
          <w:sz w:val="22"/>
          <w:szCs w:val="22"/>
        </w:rPr>
      </w:pPr>
    </w:p>
    <w:p w:rsidR="002E78D8" w:rsidRDefault="002E78D8" w:rsidP="002E78D8">
      <w:pPr>
        <w:numPr>
          <w:ilvl w:val="0"/>
          <w:numId w:val="1"/>
        </w:numPr>
        <w:tabs>
          <w:tab w:val="num" w:pos="567"/>
        </w:tabs>
        <w:ind w:left="567" w:hanging="567"/>
        <w:jc w:val="both"/>
        <w:rPr>
          <w:rFonts w:ascii="Tahoma" w:hAnsi="Tahoma" w:cs="Tahoma"/>
          <w:sz w:val="22"/>
          <w:szCs w:val="22"/>
        </w:rPr>
      </w:pPr>
      <w:r>
        <w:rPr>
          <w:rFonts w:ascii="Tahoma" w:hAnsi="Tahoma" w:cs="Tahoma"/>
          <w:sz w:val="22"/>
          <w:szCs w:val="22"/>
        </w:rPr>
        <w:t>En tal sentido, este Tribunal analizará el</w:t>
      </w:r>
      <w:r w:rsidRPr="003E24AD">
        <w:rPr>
          <w:rFonts w:ascii="Tahoma" w:hAnsi="Tahoma" w:cs="Tahoma"/>
          <w:sz w:val="22"/>
          <w:szCs w:val="22"/>
        </w:rPr>
        <w:t xml:space="preserve"> Contrato de Distribución Exclusiva suscrito entre Laboratorios Baxter del Perú S.A. y Laboratorios Hersil S.A., de fecha 18 de mayo del 2006</w:t>
      </w:r>
      <w:r>
        <w:rPr>
          <w:rFonts w:ascii="Tahoma" w:hAnsi="Tahoma" w:cs="Tahoma"/>
          <w:sz w:val="22"/>
          <w:szCs w:val="22"/>
        </w:rPr>
        <w:t>, la misma que obra a fojas 725 al 769 de la propuesta técnica del Impugnante, a fin de determinar si corresponde otorgarle puntaje, respecto al factor de evaluación referido a la experiencia del postor.</w:t>
      </w:r>
    </w:p>
    <w:p w:rsidR="002E78D8" w:rsidRDefault="002E78D8" w:rsidP="002E78D8">
      <w:pPr>
        <w:ind w:left="567"/>
        <w:jc w:val="both"/>
        <w:rPr>
          <w:rFonts w:ascii="Tahoma" w:hAnsi="Tahoma" w:cs="Tahoma"/>
          <w:sz w:val="22"/>
          <w:szCs w:val="22"/>
        </w:rPr>
      </w:pPr>
    </w:p>
    <w:p w:rsidR="002E78D8" w:rsidRPr="007D5D4B" w:rsidRDefault="002E78D8" w:rsidP="002E78D8">
      <w:pPr>
        <w:numPr>
          <w:ilvl w:val="0"/>
          <w:numId w:val="1"/>
        </w:numPr>
        <w:tabs>
          <w:tab w:val="num" w:pos="567"/>
        </w:tabs>
        <w:ind w:left="567" w:hanging="567"/>
        <w:jc w:val="both"/>
        <w:rPr>
          <w:rFonts w:ascii="Tahoma" w:hAnsi="Tahoma" w:cs="Tahoma"/>
          <w:sz w:val="22"/>
          <w:szCs w:val="22"/>
        </w:rPr>
      </w:pPr>
      <w:r>
        <w:rPr>
          <w:rFonts w:ascii="Tahoma" w:hAnsi="Tahoma" w:cs="Tahoma"/>
          <w:sz w:val="22"/>
          <w:szCs w:val="22"/>
        </w:rPr>
        <w:t xml:space="preserve">Por ello, </w:t>
      </w:r>
      <w:r w:rsidRPr="00CC283A">
        <w:rPr>
          <w:rFonts w:ascii="Tahoma" w:hAnsi="Tahoma" w:cs="Tahoma"/>
          <w:sz w:val="22"/>
          <w:szCs w:val="22"/>
        </w:rPr>
        <w:t xml:space="preserve">cabe precisar que este Tribunal en pronunciamientos anteriores ha señalado que </w:t>
      </w:r>
      <w:r w:rsidRPr="00CC283A">
        <w:rPr>
          <w:rFonts w:ascii="Tahoma" w:hAnsi="Tahoma" w:cs="Tahoma"/>
        </w:rPr>
        <w:t xml:space="preserve">el contrato de distribución ha sido definido en la doctrina como aquél por el cual </w:t>
      </w:r>
      <w:r w:rsidRPr="00CC283A">
        <w:rPr>
          <w:rFonts w:ascii="Tahoma" w:hAnsi="Tahoma" w:cs="Tahoma"/>
          <w:i/>
        </w:rPr>
        <w:t>“el productor o fabricante conviene el suministro de un bien final, producto determinado, al distribuidor, quien adquiere el producto para proceder a su “colocación masiva” por medio de su propia organización en una zona determinada. A cambio de ello el distribuidor recibe del productor un porcentaje que puede ser un descuento sobre el precio de venta del producto, sin perjuicio de las condiciones relativas a pedidos previos y formas de pago”.</w:t>
      </w:r>
      <w:r w:rsidRPr="001F0706">
        <w:rPr>
          <w:rStyle w:val="Refdenotaalpie"/>
          <w:rFonts w:ascii="Tahoma" w:hAnsi="Tahoma" w:cs="Tahoma"/>
          <w:i/>
        </w:rPr>
        <w:footnoteReference w:id="3"/>
      </w:r>
      <w:r w:rsidRPr="00CC283A">
        <w:rPr>
          <w:rFonts w:ascii="Tahoma" w:hAnsi="Tahoma" w:cs="Tahoma"/>
          <w:i/>
        </w:rPr>
        <w:t xml:space="preserve"> </w:t>
      </w:r>
    </w:p>
    <w:p w:rsidR="002E78D8" w:rsidRPr="007D5D4B" w:rsidRDefault="002E78D8" w:rsidP="002E78D8">
      <w:pPr>
        <w:rPr>
          <w:rFonts w:ascii="Tahoma" w:hAnsi="Tahoma" w:cs="Tahoma"/>
          <w:sz w:val="22"/>
          <w:szCs w:val="22"/>
        </w:rPr>
      </w:pPr>
    </w:p>
    <w:p w:rsidR="002E78D8" w:rsidRDefault="002E78D8" w:rsidP="002E78D8">
      <w:pPr>
        <w:ind w:left="567"/>
        <w:jc w:val="both"/>
        <w:rPr>
          <w:rFonts w:ascii="Tahoma" w:hAnsi="Tahoma" w:cs="Tahoma"/>
          <w:i/>
          <w:sz w:val="22"/>
          <w:szCs w:val="22"/>
        </w:rPr>
      </w:pPr>
      <w:r>
        <w:rPr>
          <w:rFonts w:ascii="Tahoma" w:hAnsi="Tahoma" w:cs="Tahoma"/>
          <w:sz w:val="22"/>
          <w:szCs w:val="22"/>
        </w:rPr>
        <w:lastRenderedPageBreak/>
        <w:t xml:space="preserve">Asimismo, la doctrina nacional ha señalado que </w:t>
      </w:r>
      <w:r w:rsidRPr="00AE1627">
        <w:rPr>
          <w:rFonts w:ascii="Tahoma" w:hAnsi="Tahoma" w:cs="Tahoma"/>
          <w:i/>
          <w:sz w:val="22"/>
          <w:szCs w:val="22"/>
        </w:rPr>
        <w:t>“(…) el objeto del contrato de distribución se constituye con la obligación que asume una de las partes, en este caso, el fabricante – productor o “distribuido”, de transferir en propiedad determinados productos, para su reventa o recolocación en una determinada zona geográfica. Esta obligación se complementa con aquella que asume la otra parte contratante, denominada “distribuidor”, quien deberá adquirir los productos en cuestión para proceder a su recolocación en el mercado asignado, a través de su propia organización empresarial”</w:t>
      </w:r>
      <w:r>
        <w:rPr>
          <w:rStyle w:val="Refdenotaalpie"/>
          <w:rFonts w:ascii="Tahoma" w:hAnsi="Tahoma"/>
          <w:i/>
          <w:sz w:val="22"/>
          <w:szCs w:val="22"/>
        </w:rPr>
        <w:footnoteReference w:id="4"/>
      </w:r>
    </w:p>
    <w:p w:rsidR="002E78D8" w:rsidRPr="00CC283A" w:rsidRDefault="002E78D8" w:rsidP="002E78D8">
      <w:pPr>
        <w:ind w:left="567"/>
        <w:jc w:val="both"/>
        <w:rPr>
          <w:rFonts w:ascii="Tahoma" w:hAnsi="Tahoma" w:cs="Tahoma"/>
          <w:sz w:val="22"/>
          <w:szCs w:val="22"/>
        </w:rPr>
      </w:pPr>
    </w:p>
    <w:p w:rsidR="002E78D8" w:rsidRPr="00E04694" w:rsidRDefault="002E78D8" w:rsidP="002E78D8">
      <w:pPr>
        <w:numPr>
          <w:ilvl w:val="0"/>
          <w:numId w:val="1"/>
        </w:numPr>
        <w:tabs>
          <w:tab w:val="num" w:pos="567"/>
        </w:tabs>
        <w:ind w:left="567" w:hanging="567"/>
        <w:jc w:val="both"/>
        <w:rPr>
          <w:rFonts w:ascii="Tahoma" w:hAnsi="Tahoma" w:cs="Tahoma"/>
          <w:sz w:val="22"/>
          <w:szCs w:val="22"/>
        </w:rPr>
      </w:pPr>
      <w:r w:rsidRPr="00E04694">
        <w:rPr>
          <w:rFonts w:ascii="Tahoma" w:hAnsi="Tahoma" w:cs="Tahoma"/>
          <w:sz w:val="22"/>
          <w:szCs w:val="22"/>
        </w:rPr>
        <w:t>Ahora bien, de la revisión de las clau</w:t>
      </w:r>
      <w:r>
        <w:rPr>
          <w:rFonts w:ascii="Tahoma" w:hAnsi="Tahoma" w:cs="Tahoma"/>
          <w:sz w:val="22"/>
          <w:szCs w:val="22"/>
        </w:rPr>
        <w:t>sulas</w:t>
      </w:r>
      <w:r w:rsidRPr="00E04694">
        <w:rPr>
          <w:rFonts w:ascii="Tahoma" w:hAnsi="Tahoma" w:cs="Tahoma"/>
          <w:sz w:val="22"/>
          <w:szCs w:val="22"/>
        </w:rPr>
        <w:t xml:space="preserve"> del Contrato de Distribución Exclusiva suscrito entre Laboratorios Baxter del Perú S.A. y Laboratorios Hersil S.A. de fecha 18 de mayo del 2006, </w:t>
      </w:r>
      <w:r>
        <w:rPr>
          <w:rFonts w:ascii="Tahoma" w:hAnsi="Tahoma" w:cs="Tahoma"/>
          <w:sz w:val="22"/>
          <w:szCs w:val="22"/>
        </w:rPr>
        <w:t xml:space="preserve">en especial las cláusulas 5.1, 5.2 y 5.3, </w:t>
      </w:r>
      <w:r w:rsidRPr="00E04694">
        <w:rPr>
          <w:rFonts w:ascii="Tahoma" w:hAnsi="Tahoma" w:cs="Tahoma"/>
          <w:sz w:val="22"/>
          <w:szCs w:val="22"/>
        </w:rPr>
        <w:t xml:space="preserve">se puede advertir que, tal como lo ha señalado la doctrina, </w:t>
      </w:r>
      <w:r>
        <w:rPr>
          <w:rFonts w:ascii="Tahoma" w:hAnsi="Tahoma" w:cs="Tahoma"/>
          <w:sz w:val="22"/>
          <w:szCs w:val="22"/>
        </w:rPr>
        <w:t>el</w:t>
      </w:r>
      <w:r w:rsidRPr="00E04694">
        <w:rPr>
          <w:rFonts w:ascii="Tahoma" w:hAnsi="Tahoma" w:cs="Tahoma"/>
          <w:sz w:val="22"/>
          <w:szCs w:val="22"/>
        </w:rPr>
        <w:t xml:space="preserve"> productor o fabricante</w:t>
      </w:r>
      <w:r>
        <w:rPr>
          <w:rFonts w:ascii="Tahoma" w:hAnsi="Tahoma" w:cs="Tahoma"/>
          <w:sz w:val="22"/>
          <w:szCs w:val="22"/>
        </w:rPr>
        <w:t>, en este caso Laboratorios Baxter del Perú S.A.,</w:t>
      </w:r>
      <w:r w:rsidRPr="00E04694">
        <w:rPr>
          <w:rFonts w:ascii="Tahoma" w:hAnsi="Tahoma" w:cs="Tahoma"/>
          <w:sz w:val="22"/>
          <w:szCs w:val="22"/>
        </w:rPr>
        <w:t xml:space="preserve"> transfiere en propiedad </w:t>
      </w:r>
      <w:r>
        <w:rPr>
          <w:rFonts w:ascii="Tahoma" w:hAnsi="Tahoma" w:cs="Tahoma"/>
          <w:sz w:val="22"/>
          <w:szCs w:val="22"/>
        </w:rPr>
        <w:t>los productos referidos en la cláusula 5.1</w:t>
      </w:r>
      <w:r w:rsidRPr="00E04694">
        <w:rPr>
          <w:rFonts w:ascii="Tahoma" w:hAnsi="Tahoma" w:cs="Tahoma"/>
          <w:sz w:val="22"/>
          <w:szCs w:val="22"/>
        </w:rPr>
        <w:t>, el mismo que es adquirido por el distribuidor</w:t>
      </w:r>
      <w:r>
        <w:rPr>
          <w:rFonts w:ascii="Tahoma" w:hAnsi="Tahoma" w:cs="Tahoma"/>
          <w:sz w:val="22"/>
          <w:szCs w:val="22"/>
        </w:rPr>
        <w:t>, es este caso Laboratorios Hersil S.A.,</w:t>
      </w:r>
      <w:r w:rsidRPr="00E04694">
        <w:rPr>
          <w:rFonts w:ascii="Tahoma" w:hAnsi="Tahoma" w:cs="Tahoma"/>
          <w:sz w:val="22"/>
          <w:szCs w:val="22"/>
        </w:rPr>
        <w:t xml:space="preserve"> para su reventa en una determinada zona geográfica.</w:t>
      </w:r>
    </w:p>
    <w:p w:rsidR="002E78D8" w:rsidRDefault="002E78D8" w:rsidP="002E78D8">
      <w:pPr>
        <w:ind w:left="567"/>
        <w:jc w:val="both"/>
        <w:rPr>
          <w:rFonts w:ascii="Tahoma" w:hAnsi="Tahoma" w:cs="Tahoma"/>
          <w:sz w:val="22"/>
          <w:szCs w:val="22"/>
        </w:rPr>
      </w:pPr>
    </w:p>
    <w:p w:rsidR="002E78D8" w:rsidRDefault="002E78D8" w:rsidP="002E78D8">
      <w:pPr>
        <w:numPr>
          <w:ilvl w:val="0"/>
          <w:numId w:val="1"/>
        </w:numPr>
        <w:ind w:left="567" w:hanging="567"/>
        <w:jc w:val="both"/>
        <w:rPr>
          <w:rFonts w:ascii="Tahoma" w:hAnsi="Tahoma" w:cs="Tahoma"/>
          <w:sz w:val="22"/>
          <w:szCs w:val="22"/>
        </w:rPr>
      </w:pPr>
      <w:r>
        <w:rPr>
          <w:rFonts w:ascii="Tahoma" w:hAnsi="Tahoma" w:cs="Tahoma"/>
          <w:sz w:val="22"/>
          <w:szCs w:val="22"/>
        </w:rPr>
        <w:t>Tal como se puede advertir, si bien es cierto el fabricante de los productos, es decir el Impugnante, no vende sus productos a consumidores finales, no es menos cierto que al existir una transferencia de propiedad, a través de una venta, el primero si va a asumir frente a su cliente, es decir al distribuidor, la responsabilidad por dicha venta, por lo tanto, este Tribunal no coincide con lo señalado por el Adjudicatario, toda vez que el Impugnante si se responsabiliza con su cliente por la venta de sus productos, aunque no sea el consumidor final.</w:t>
      </w:r>
    </w:p>
    <w:p w:rsidR="002E78D8" w:rsidRPr="00E1091A" w:rsidRDefault="002E78D8" w:rsidP="002E78D8">
      <w:pPr>
        <w:rPr>
          <w:rFonts w:ascii="Tahoma" w:hAnsi="Tahoma" w:cs="Tahoma"/>
          <w:sz w:val="22"/>
          <w:szCs w:val="22"/>
        </w:rPr>
      </w:pPr>
    </w:p>
    <w:p w:rsidR="002E78D8" w:rsidRDefault="002E78D8" w:rsidP="002E78D8">
      <w:pPr>
        <w:ind w:left="567"/>
        <w:jc w:val="both"/>
        <w:rPr>
          <w:rFonts w:ascii="Tahoma" w:hAnsi="Tahoma" w:cs="Tahoma"/>
          <w:sz w:val="22"/>
          <w:szCs w:val="22"/>
        </w:rPr>
      </w:pPr>
      <w:r>
        <w:rPr>
          <w:rFonts w:ascii="Tahoma" w:hAnsi="Tahoma" w:cs="Tahoma"/>
          <w:sz w:val="22"/>
          <w:szCs w:val="22"/>
          <w:lang w:val="es-ES_tradnl"/>
        </w:rPr>
        <w:t>En efecto, en la cláusula 9.3 de dicho contrato se aprecia que el Impugnante “</w:t>
      </w:r>
      <w:r w:rsidRPr="00E1091A">
        <w:rPr>
          <w:rFonts w:ascii="Tahoma" w:hAnsi="Tahoma" w:cs="Tahoma"/>
          <w:i/>
          <w:sz w:val="22"/>
          <w:szCs w:val="22"/>
          <w:lang w:val="es-ES_tradnl"/>
        </w:rPr>
        <w:t>(…) vende a El Distribuidor con la garantía que estarán libres de defectos en su mano de obra o material al momento de su venta. EN el caso de que cualquier producto resultase defectuosos o materiales o mano de obra al momento de la venta, BAXTER hará un ajuste apropiado en el precio de ventas original o suministrará una reposición del producto bajo su cuenta, costo y riesgo. Baxter acepta mantener a EL DISTRIBUIDOR libre de pérdidas o reclamos que surjan por defectos inherentes en cualquiera de los productos de BACTER, existentes al tiempo de venta del producto por parte de BAXTER a EL DISTRIBUIDOR, considerando que EL DISTRIBUIDOR notifique de inmediato a BAXTER sobre la pérdida o reclamo y coopere ampliamente con el DISTRIBUIDOR en el manejo de dicho reclamos (…)”</w:t>
      </w:r>
    </w:p>
    <w:p w:rsidR="002E78D8" w:rsidRDefault="002E78D8" w:rsidP="002E78D8">
      <w:pPr>
        <w:ind w:left="567"/>
        <w:jc w:val="both"/>
        <w:rPr>
          <w:rFonts w:ascii="Tahoma" w:hAnsi="Tahoma" w:cs="Tahoma"/>
          <w:sz w:val="22"/>
          <w:szCs w:val="22"/>
        </w:rPr>
      </w:pPr>
    </w:p>
    <w:p w:rsidR="002E78D8" w:rsidRDefault="002E78D8" w:rsidP="002E78D8">
      <w:pPr>
        <w:numPr>
          <w:ilvl w:val="0"/>
          <w:numId w:val="1"/>
        </w:numPr>
        <w:ind w:left="567" w:hanging="567"/>
        <w:jc w:val="both"/>
        <w:rPr>
          <w:rFonts w:ascii="Tahoma" w:hAnsi="Tahoma" w:cs="Tahoma"/>
          <w:sz w:val="22"/>
          <w:szCs w:val="22"/>
        </w:rPr>
      </w:pPr>
      <w:r>
        <w:rPr>
          <w:rFonts w:ascii="Tahoma" w:hAnsi="Tahoma" w:cs="Tahoma"/>
          <w:sz w:val="22"/>
          <w:szCs w:val="22"/>
        </w:rPr>
        <w:t xml:space="preserve">De lo señalado anteriormente, cabe precisar que la experiencia del postor no solamente está referido a la acreditación en ventas a consumidores finales, si no </w:t>
      </w:r>
      <w:r>
        <w:rPr>
          <w:rFonts w:ascii="Tahoma" w:hAnsi="Tahoma" w:cs="Tahoma"/>
          <w:sz w:val="22"/>
          <w:szCs w:val="22"/>
        </w:rPr>
        <w:lastRenderedPageBreak/>
        <w:t>a la venta de los productos en cualquier etapa de la cadena productiva, en la cual interviene tanto el fabricante, el mayorista, minorista y el consumidor final.</w:t>
      </w:r>
    </w:p>
    <w:p w:rsidR="002E78D8" w:rsidRDefault="002E78D8" w:rsidP="002E78D8">
      <w:pPr>
        <w:ind w:left="708"/>
        <w:jc w:val="both"/>
        <w:rPr>
          <w:rFonts w:ascii="Tahoma" w:hAnsi="Tahoma" w:cs="Tahoma"/>
          <w:sz w:val="22"/>
          <w:szCs w:val="22"/>
        </w:rPr>
      </w:pPr>
    </w:p>
    <w:p w:rsidR="002E78D8" w:rsidRDefault="002E78D8" w:rsidP="002E78D8">
      <w:pPr>
        <w:ind w:left="567"/>
        <w:jc w:val="both"/>
        <w:rPr>
          <w:rFonts w:ascii="Tahoma" w:hAnsi="Tahoma" w:cs="Tahoma"/>
          <w:sz w:val="22"/>
          <w:szCs w:val="22"/>
        </w:rPr>
      </w:pPr>
      <w:r>
        <w:rPr>
          <w:rFonts w:ascii="Tahoma" w:hAnsi="Tahoma" w:cs="Tahoma"/>
          <w:sz w:val="22"/>
          <w:szCs w:val="22"/>
        </w:rPr>
        <w:t>En tal sentido, de la verificación del</w:t>
      </w:r>
      <w:r w:rsidRPr="00E04694">
        <w:rPr>
          <w:rFonts w:ascii="Tahoma" w:hAnsi="Tahoma" w:cs="Tahoma"/>
          <w:sz w:val="22"/>
          <w:szCs w:val="22"/>
        </w:rPr>
        <w:t xml:space="preserve"> Contrato de Distribución Exclusiva suscrito entre Laboratorios Baxter del Perú S.A. y Laboratorios Hersil S.A. de fecha 18 de mayo del 2006</w:t>
      </w:r>
      <w:r>
        <w:rPr>
          <w:rFonts w:ascii="Tahoma" w:hAnsi="Tahoma" w:cs="Tahoma"/>
          <w:sz w:val="22"/>
          <w:szCs w:val="22"/>
        </w:rPr>
        <w:t>, se ha podido advertir que una de las obligaciones esenciales del productor, es decir El impugnante, es el suministro continuado de sus productos a su distribuidor, a través de ventas que busca la transmisión del dominio del bien en el primer eslabón o nivel de la cadena; en tal sentido, si bien es cierto la venta de dichos productos no se produce al usuario final, no es menos cierto que existe transferencia de propiedad, a través de una venta, asumiendo el Impugnante la responsabilidad de dicha venta frente a su Distribuidor.</w:t>
      </w:r>
    </w:p>
    <w:p w:rsidR="002E78D8" w:rsidRDefault="002E78D8" w:rsidP="002E78D8">
      <w:pPr>
        <w:ind w:left="708"/>
        <w:jc w:val="both"/>
        <w:rPr>
          <w:rFonts w:ascii="Tahoma" w:hAnsi="Tahoma" w:cs="Tahoma"/>
          <w:sz w:val="22"/>
          <w:szCs w:val="22"/>
        </w:rPr>
      </w:pPr>
    </w:p>
    <w:p w:rsidR="002E78D8" w:rsidRDefault="002E78D8" w:rsidP="002E78D8">
      <w:pPr>
        <w:numPr>
          <w:ilvl w:val="0"/>
          <w:numId w:val="1"/>
        </w:numPr>
        <w:ind w:left="567" w:hanging="567"/>
        <w:jc w:val="both"/>
        <w:rPr>
          <w:rFonts w:ascii="Tahoma" w:hAnsi="Tahoma" w:cs="Tahoma"/>
          <w:sz w:val="22"/>
          <w:szCs w:val="22"/>
        </w:rPr>
      </w:pPr>
      <w:r>
        <w:rPr>
          <w:rFonts w:ascii="Tahoma" w:hAnsi="Tahoma" w:cs="Tahoma"/>
          <w:sz w:val="22"/>
          <w:szCs w:val="22"/>
        </w:rPr>
        <w:t>Por lo tanto, este Colegiado considera que a través de la presentación del</w:t>
      </w:r>
      <w:r w:rsidRPr="00E04694">
        <w:rPr>
          <w:rFonts w:ascii="Tahoma" w:hAnsi="Tahoma" w:cs="Tahoma"/>
          <w:sz w:val="22"/>
          <w:szCs w:val="22"/>
        </w:rPr>
        <w:t xml:space="preserve"> Contrato de Distribución Exclusiva suscrito entre Laboratorios Baxter del Perú S.A. y Laboratorios Hersil S.A. de fecha 18 de mayo del 2006</w:t>
      </w:r>
      <w:r>
        <w:rPr>
          <w:rFonts w:ascii="Tahoma" w:hAnsi="Tahoma" w:cs="Tahoma"/>
          <w:sz w:val="22"/>
          <w:szCs w:val="22"/>
        </w:rPr>
        <w:t>, el Impugnante ha acreditado la experiencia en la venta de los productos referidos al Sistemas de Diálisis Peritoneal Automatizada Continua (DIPAC), toda vez que a través de dicho documento, se acredita la habitualidad comercial del Impugnante en la venta de dicho producto.</w:t>
      </w:r>
    </w:p>
    <w:p w:rsidR="002E78D8" w:rsidRPr="00A001C2" w:rsidRDefault="002E78D8" w:rsidP="002E78D8">
      <w:pPr>
        <w:ind w:left="567"/>
        <w:jc w:val="both"/>
        <w:rPr>
          <w:rFonts w:ascii="Tahoma" w:hAnsi="Tahoma" w:cs="Tahoma"/>
          <w:sz w:val="22"/>
          <w:szCs w:val="22"/>
        </w:rPr>
      </w:pPr>
    </w:p>
    <w:p w:rsidR="002E78D8" w:rsidRDefault="002E78D8" w:rsidP="002E78D8">
      <w:pPr>
        <w:numPr>
          <w:ilvl w:val="0"/>
          <w:numId w:val="1"/>
        </w:numPr>
        <w:ind w:left="567" w:hanging="567"/>
        <w:jc w:val="both"/>
        <w:rPr>
          <w:rFonts w:ascii="Tahoma" w:hAnsi="Tahoma" w:cs="Tahoma"/>
          <w:sz w:val="22"/>
          <w:szCs w:val="22"/>
        </w:rPr>
      </w:pPr>
      <w:r w:rsidRPr="00EA3AFB">
        <w:rPr>
          <w:rFonts w:ascii="Tahoma" w:hAnsi="Tahoma" w:cs="Tahoma"/>
          <w:sz w:val="22"/>
          <w:szCs w:val="22"/>
        </w:rPr>
        <w:t>Ah</w:t>
      </w:r>
      <w:r>
        <w:rPr>
          <w:rFonts w:ascii="Tahoma" w:hAnsi="Tahoma" w:cs="Tahoma"/>
          <w:sz w:val="22"/>
          <w:szCs w:val="22"/>
        </w:rPr>
        <w:t>ora bien, para</w:t>
      </w:r>
      <w:r w:rsidRPr="00EA3AFB">
        <w:rPr>
          <w:rFonts w:ascii="Tahoma" w:hAnsi="Tahoma" w:cs="Tahoma"/>
          <w:sz w:val="22"/>
          <w:szCs w:val="22"/>
        </w:rPr>
        <w:t xml:space="preserve"> determinar si corr</w:t>
      </w:r>
      <w:r>
        <w:rPr>
          <w:rFonts w:ascii="Tahoma" w:hAnsi="Tahoma" w:cs="Tahoma"/>
          <w:sz w:val="22"/>
          <w:szCs w:val="22"/>
        </w:rPr>
        <w:t xml:space="preserve">esponde otorgar </w:t>
      </w:r>
      <w:r w:rsidRPr="00EA3AFB">
        <w:rPr>
          <w:rFonts w:ascii="Tahoma" w:hAnsi="Tahoma" w:cs="Tahoma"/>
          <w:sz w:val="22"/>
          <w:szCs w:val="22"/>
        </w:rPr>
        <w:t>al Impugnante puntaje por el factor referido a la experiencia del postor</w:t>
      </w:r>
      <w:r>
        <w:rPr>
          <w:rFonts w:ascii="Tahoma" w:hAnsi="Tahoma" w:cs="Tahoma"/>
          <w:sz w:val="22"/>
          <w:szCs w:val="22"/>
        </w:rPr>
        <w:t>, se revisará su propuesta técnica, a fin de verificar si presentó la conformidad del</w:t>
      </w:r>
      <w:r w:rsidRPr="00E04694">
        <w:rPr>
          <w:rFonts w:ascii="Tahoma" w:hAnsi="Tahoma" w:cs="Tahoma"/>
          <w:sz w:val="22"/>
          <w:szCs w:val="22"/>
        </w:rPr>
        <w:t xml:space="preserve"> Contrato de Distribución Exclusiva suscrito entre Laboratorios Baxter del Perú S.A. y Laboratorios Hersil S.A. de fecha 18 de mayo del 2006</w:t>
      </w:r>
      <w:r>
        <w:rPr>
          <w:rFonts w:ascii="Tahoma" w:hAnsi="Tahoma" w:cs="Tahoma"/>
          <w:sz w:val="22"/>
          <w:szCs w:val="22"/>
        </w:rPr>
        <w:t>, según lo establecido en las Bases Integradas.</w:t>
      </w:r>
    </w:p>
    <w:p w:rsidR="002E78D8" w:rsidRDefault="002E78D8" w:rsidP="002E78D8">
      <w:pPr>
        <w:pStyle w:val="Prrafodelista"/>
        <w:rPr>
          <w:rFonts w:ascii="Tahoma" w:hAnsi="Tahoma" w:cs="Tahoma"/>
          <w:sz w:val="22"/>
          <w:szCs w:val="22"/>
        </w:rPr>
      </w:pPr>
    </w:p>
    <w:p w:rsidR="002E78D8" w:rsidRDefault="002E78D8" w:rsidP="002E78D8">
      <w:pPr>
        <w:numPr>
          <w:ilvl w:val="0"/>
          <w:numId w:val="1"/>
        </w:numPr>
        <w:ind w:left="567" w:hanging="567"/>
        <w:jc w:val="both"/>
        <w:rPr>
          <w:rFonts w:ascii="Tahoma" w:hAnsi="Tahoma" w:cs="Tahoma"/>
          <w:sz w:val="22"/>
          <w:szCs w:val="22"/>
        </w:rPr>
      </w:pPr>
      <w:r>
        <w:rPr>
          <w:rFonts w:ascii="Tahoma" w:hAnsi="Tahoma" w:cs="Tahoma"/>
          <w:sz w:val="22"/>
          <w:szCs w:val="22"/>
        </w:rPr>
        <w:t xml:space="preserve">Respecto a ello, cabe precisar que a fojas 720 de la Propuesta Técnica del Impugnante, obra la CONSTANCIA DE PRESTACIÓN de fecha 26 de octubre del 2010, emitida por la empresa </w:t>
      </w:r>
      <w:r w:rsidRPr="00E04694">
        <w:rPr>
          <w:rFonts w:ascii="Tahoma" w:hAnsi="Tahoma" w:cs="Tahoma"/>
          <w:sz w:val="22"/>
          <w:szCs w:val="22"/>
        </w:rPr>
        <w:t>Laboratorios Hersil S.A.</w:t>
      </w:r>
      <w:r>
        <w:rPr>
          <w:rFonts w:ascii="Tahoma" w:hAnsi="Tahoma" w:cs="Tahoma"/>
          <w:sz w:val="22"/>
          <w:szCs w:val="22"/>
        </w:rPr>
        <w:t>, en el cual se consignó lo siguiente:</w:t>
      </w:r>
    </w:p>
    <w:p w:rsidR="002E78D8" w:rsidRPr="00F3457B" w:rsidRDefault="002E78D8" w:rsidP="002E78D8">
      <w:pPr>
        <w:rPr>
          <w:rFonts w:ascii="Tahoma" w:hAnsi="Tahoma" w:cs="Tahoma"/>
          <w:sz w:val="22"/>
          <w:szCs w:val="22"/>
        </w:rPr>
      </w:pPr>
    </w:p>
    <w:p w:rsidR="002E78D8" w:rsidRPr="00DD5D17" w:rsidRDefault="002E78D8" w:rsidP="002E78D8">
      <w:pPr>
        <w:ind w:left="851" w:right="283"/>
        <w:jc w:val="both"/>
        <w:rPr>
          <w:rFonts w:ascii="Tahoma" w:hAnsi="Tahoma" w:cs="Tahoma"/>
          <w:i/>
          <w:sz w:val="22"/>
          <w:szCs w:val="22"/>
          <w:lang w:val="es-ES_tradnl"/>
        </w:rPr>
      </w:pPr>
      <w:r w:rsidRPr="00DD5D17">
        <w:rPr>
          <w:rFonts w:ascii="Tahoma" w:hAnsi="Tahoma" w:cs="Tahoma"/>
          <w:i/>
          <w:sz w:val="22"/>
          <w:szCs w:val="22"/>
          <w:lang w:val="es-ES_tradnl"/>
        </w:rPr>
        <w:t>“Que, de acuerdo al Contrato de Distribución Exclusiva con Laboratorios Baxter del Perú S.A. de fecha 18 de Mayo del 2006, procedemos a elaborar la Constancia de Prestación correspondiente al periodo 1º Enero 2010 al 30 Junio 2010, siendo el valor de las prestaciones recibidas y canceladas en medicamentos y material médico S/. 14’329,659.11 (catorce millones trescientos veintinueve mil seiscientos cincuenta y nueve y 11/100 Nuevos Soles) según detalle adjunto (ver Anexo Nº 1)</w:t>
      </w:r>
    </w:p>
    <w:p w:rsidR="002E78D8" w:rsidRPr="00DD5D17" w:rsidRDefault="002E78D8" w:rsidP="002E78D8">
      <w:pPr>
        <w:ind w:left="851" w:right="283"/>
        <w:jc w:val="both"/>
        <w:rPr>
          <w:rFonts w:ascii="Tahoma" w:hAnsi="Tahoma" w:cs="Tahoma"/>
          <w:i/>
          <w:sz w:val="22"/>
          <w:szCs w:val="22"/>
          <w:lang w:val="es-ES_tradnl"/>
        </w:rPr>
      </w:pPr>
    </w:p>
    <w:p w:rsidR="002E78D8" w:rsidRPr="00DD5D17" w:rsidRDefault="002E78D8" w:rsidP="002E78D8">
      <w:pPr>
        <w:ind w:left="851" w:right="283"/>
        <w:jc w:val="both"/>
        <w:rPr>
          <w:rFonts w:ascii="Tahoma" w:hAnsi="Tahoma" w:cs="Tahoma"/>
          <w:i/>
          <w:sz w:val="22"/>
          <w:szCs w:val="22"/>
          <w:lang w:val="es-ES_tradnl"/>
        </w:rPr>
      </w:pPr>
      <w:r w:rsidRPr="00DD5D17">
        <w:rPr>
          <w:rFonts w:ascii="Tahoma" w:hAnsi="Tahoma" w:cs="Tahoma"/>
          <w:i/>
          <w:sz w:val="22"/>
          <w:szCs w:val="22"/>
          <w:lang w:val="es-ES_tradnl"/>
        </w:rPr>
        <w:t>Laboratios Baxter del Peru S.A. ha cumplido con la atención de nuestros requerimientos en los plazos establecidos.</w:t>
      </w:r>
    </w:p>
    <w:p w:rsidR="002E78D8" w:rsidRPr="00DD5D17" w:rsidRDefault="002E78D8" w:rsidP="002E78D8">
      <w:pPr>
        <w:ind w:left="851" w:right="283"/>
        <w:jc w:val="both"/>
        <w:rPr>
          <w:rFonts w:ascii="Tahoma" w:hAnsi="Tahoma" w:cs="Tahoma"/>
          <w:i/>
          <w:sz w:val="22"/>
          <w:szCs w:val="22"/>
          <w:lang w:val="es-ES_tradnl"/>
        </w:rPr>
      </w:pPr>
    </w:p>
    <w:p w:rsidR="002E78D8" w:rsidRPr="00DD5D17" w:rsidRDefault="002E78D8" w:rsidP="002E78D8">
      <w:pPr>
        <w:ind w:left="851" w:right="283"/>
        <w:jc w:val="both"/>
        <w:rPr>
          <w:rFonts w:ascii="Tahoma" w:hAnsi="Tahoma" w:cs="Tahoma"/>
          <w:i/>
          <w:sz w:val="22"/>
          <w:szCs w:val="22"/>
        </w:rPr>
      </w:pPr>
      <w:r w:rsidRPr="00DD5D17">
        <w:rPr>
          <w:rFonts w:ascii="Tahoma" w:hAnsi="Tahoma" w:cs="Tahoma"/>
          <w:i/>
          <w:sz w:val="22"/>
          <w:szCs w:val="22"/>
          <w:lang w:val="es-ES_tradnl"/>
        </w:rPr>
        <w:lastRenderedPageBreak/>
        <w:t>Se expide la presente constancia a solicitud de la parte interesada de acuerdo al Artículo 178 del D.S. 184-2008-EF, No habiendo incurrido en penalidad alguna.”</w:t>
      </w:r>
    </w:p>
    <w:p w:rsidR="002E78D8" w:rsidRPr="00EA3AFB" w:rsidRDefault="002E78D8" w:rsidP="002E78D8">
      <w:pPr>
        <w:jc w:val="both"/>
        <w:rPr>
          <w:rFonts w:ascii="Tahoma" w:hAnsi="Tahoma" w:cs="Tahoma"/>
          <w:sz w:val="22"/>
          <w:szCs w:val="22"/>
        </w:rPr>
      </w:pPr>
    </w:p>
    <w:p w:rsidR="002E78D8" w:rsidRDefault="002E78D8" w:rsidP="002E78D8">
      <w:pPr>
        <w:numPr>
          <w:ilvl w:val="0"/>
          <w:numId w:val="1"/>
        </w:numPr>
        <w:ind w:left="567" w:hanging="567"/>
        <w:jc w:val="both"/>
        <w:rPr>
          <w:rFonts w:ascii="Tahoma" w:hAnsi="Tahoma" w:cs="Tahoma"/>
          <w:sz w:val="22"/>
          <w:szCs w:val="22"/>
        </w:rPr>
      </w:pPr>
      <w:r>
        <w:rPr>
          <w:rFonts w:ascii="Tahoma" w:hAnsi="Tahoma" w:cs="Tahoma"/>
          <w:sz w:val="22"/>
          <w:szCs w:val="22"/>
        </w:rPr>
        <w:t xml:space="preserve">Asimismo, a fojas 721 de su propuesta técnica del Impugnante, obra el Anexo Nº 1, que hace referencia la constancia de prestación antes señalada, en el cual se describe los medicamentos y material médico que se vendió a la empresa </w:t>
      </w:r>
      <w:r w:rsidRPr="00E04694">
        <w:rPr>
          <w:rFonts w:ascii="Tahoma" w:hAnsi="Tahoma" w:cs="Tahoma"/>
          <w:sz w:val="22"/>
          <w:szCs w:val="22"/>
        </w:rPr>
        <w:t>Laboratorios Hersil S.A.</w:t>
      </w:r>
      <w:r>
        <w:rPr>
          <w:rFonts w:ascii="Tahoma" w:hAnsi="Tahoma" w:cs="Tahoma"/>
          <w:sz w:val="22"/>
          <w:szCs w:val="22"/>
        </w:rPr>
        <w:t>, bajo el siguiente detalle:</w:t>
      </w:r>
    </w:p>
    <w:p w:rsidR="002E78D8" w:rsidRDefault="002E78D8" w:rsidP="002E78D8">
      <w:pPr>
        <w:jc w:val="both"/>
        <w:rPr>
          <w:rFonts w:ascii="Tahoma" w:hAnsi="Tahoma" w:cs="Tahoma"/>
          <w:sz w:val="22"/>
          <w:szCs w:val="22"/>
        </w:rPr>
      </w:pPr>
    </w:p>
    <w:p w:rsidR="002E78D8" w:rsidRDefault="00287BDB" w:rsidP="002E78D8">
      <w:pPr>
        <w:jc w:val="center"/>
        <w:rPr>
          <w:rFonts w:ascii="Tahoma" w:hAnsi="Tahoma" w:cs="Tahoma"/>
          <w:sz w:val="22"/>
          <w:szCs w:val="22"/>
        </w:rPr>
      </w:pPr>
      <w:r>
        <w:rPr>
          <w:rFonts w:ascii="Tahoma" w:hAnsi="Tahoma" w:cs="Tahoma"/>
          <w:noProof/>
          <w:sz w:val="22"/>
          <w:szCs w:val="22"/>
        </w:rPr>
        <w:drawing>
          <wp:inline distT="0" distB="0" distL="0" distR="0">
            <wp:extent cx="3641725" cy="5192395"/>
            <wp:effectExtent l="19050" t="0" r="0" b="0"/>
            <wp:docPr id="1" name="Imagen 5" descr="C:\Documents and Settings\jtorrico\Escritorio\Archivos (ABL)\EXP-1605-2010\120-2011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C:\Documents and Settings\jtorrico\Escritorio\Archivos (ABL)\EXP-1605-2010\120-2011 (2).jpg"/>
                    <pic:cNvPicPr>
                      <a:picLocks noChangeAspect="1" noChangeArrowheads="1"/>
                    </pic:cNvPicPr>
                  </pic:nvPicPr>
                  <pic:blipFill>
                    <a:blip r:embed="rId8"/>
                    <a:srcRect/>
                    <a:stretch>
                      <a:fillRect/>
                    </a:stretch>
                  </pic:blipFill>
                  <pic:spPr bwMode="auto">
                    <a:xfrm>
                      <a:off x="0" y="0"/>
                      <a:ext cx="3641725" cy="5192395"/>
                    </a:xfrm>
                    <a:prstGeom prst="rect">
                      <a:avLst/>
                    </a:prstGeom>
                    <a:noFill/>
                    <a:ln w="9525">
                      <a:noFill/>
                      <a:miter lim="800000"/>
                      <a:headEnd/>
                      <a:tailEnd/>
                    </a:ln>
                  </pic:spPr>
                </pic:pic>
              </a:graphicData>
            </a:graphic>
          </wp:inline>
        </w:drawing>
      </w:r>
    </w:p>
    <w:p w:rsidR="002E78D8" w:rsidRDefault="002E78D8" w:rsidP="002E78D8">
      <w:pPr>
        <w:jc w:val="both"/>
        <w:rPr>
          <w:rFonts w:ascii="Tahoma" w:hAnsi="Tahoma" w:cs="Tahoma"/>
          <w:sz w:val="22"/>
          <w:szCs w:val="22"/>
        </w:rPr>
      </w:pPr>
    </w:p>
    <w:p w:rsidR="002E78D8" w:rsidRPr="002E78D8" w:rsidRDefault="002E78D8" w:rsidP="002E78D8">
      <w:pPr>
        <w:numPr>
          <w:ilvl w:val="0"/>
          <w:numId w:val="1"/>
        </w:numPr>
        <w:ind w:left="567" w:hanging="567"/>
        <w:jc w:val="both"/>
        <w:rPr>
          <w:rFonts w:ascii="Tahoma" w:hAnsi="Tahoma" w:cs="Tahoma"/>
          <w:sz w:val="22"/>
          <w:szCs w:val="22"/>
        </w:rPr>
      </w:pPr>
      <w:r>
        <w:rPr>
          <w:rFonts w:ascii="Tahoma" w:hAnsi="Tahoma" w:cs="Tahoma"/>
          <w:sz w:val="22"/>
          <w:szCs w:val="22"/>
        </w:rPr>
        <w:t>Conforme a lo señalado anteriormente, mediante escrito presentado el 21 de febrero del 2011, la Entidad adjuntó el Informe Nº 028-ORM-GCPS-ESSALUD-2011, en el cual informó los productos que tienen relación con el objeto de convocatoria, respecto a lo descrito en el Anexo Nº 1 que obra a fojas 721 de la  propuesta técnica del Impugnante, bajo el siguiente detalle:</w:t>
      </w:r>
    </w:p>
    <w:p w:rsidR="002E78D8" w:rsidRDefault="002E78D8" w:rsidP="002E78D8">
      <w:pPr>
        <w:ind w:left="567"/>
        <w:jc w:val="both"/>
        <w:rPr>
          <w:rFonts w:ascii="Tahoma" w:hAnsi="Tahoma" w:cs="Tahoma"/>
          <w:sz w:val="22"/>
          <w:szCs w:val="22"/>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87"/>
        <w:gridCol w:w="2659"/>
      </w:tblGrid>
      <w:tr w:rsidR="002E78D8" w:rsidTr="00D01115">
        <w:tc>
          <w:tcPr>
            <w:tcW w:w="5387" w:type="dxa"/>
          </w:tcPr>
          <w:p w:rsidR="002E78D8" w:rsidRPr="00D01115" w:rsidRDefault="002E78D8" w:rsidP="00D01115">
            <w:pPr>
              <w:jc w:val="both"/>
              <w:rPr>
                <w:rFonts w:ascii="Tahoma" w:hAnsi="Tahoma" w:cs="Tahoma"/>
                <w:sz w:val="16"/>
                <w:szCs w:val="16"/>
              </w:rPr>
            </w:pPr>
            <w:r w:rsidRPr="00D01115">
              <w:rPr>
                <w:rFonts w:ascii="Tahoma" w:hAnsi="Tahoma" w:cs="Tahoma"/>
                <w:sz w:val="16"/>
                <w:szCs w:val="16"/>
              </w:rPr>
              <w:t>DESCRIPCIÓN</w:t>
            </w:r>
          </w:p>
        </w:tc>
        <w:tc>
          <w:tcPr>
            <w:tcW w:w="2659" w:type="dxa"/>
          </w:tcPr>
          <w:p w:rsidR="002E78D8" w:rsidRPr="00D01115" w:rsidRDefault="002E78D8" w:rsidP="00D01115">
            <w:pPr>
              <w:jc w:val="both"/>
              <w:rPr>
                <w:rFonts w:ascii="Tahoma" w:hAnsi="Tahoma" w:cs="Tahoma"/>
                <w:sz w:val="16"/>
                <w:szCs w:val="16"/>
              </w:rPr>
            </w:pPr>
            <w:r w:rsidRPr="00D01115">
              <w:rPr>
                <w:rFonts w:ascii="Tahoma" w:hAnsi="Tahoma" w:cs="Tahoma"/>
                <w:sz w:val="16"/>
                <w:szCs w:val="16"/>
              </w:rPr>
              <w:t>TOTAL S/. Inc. IGV</w:t>
            </w:r>
          </w:p>
        </w:tc>
      </w:tr>
      <w:tr w:rsidR="002E78D8" w:rsidTr="00D01115">
        <w:tc>
          <w:tcPr>
            <w:tcW w:w="5387" w:type="dxa"/>
          </w:tcPr>
          <w:p w:rsidR="002E78D8" w:rsidRPr="00D01115" w:rsidRDefault="002E78D8" w:rsidP="00D01115">
            <w:pPr>
              <w:jc w:val="both"/>
              <w:rPr>
                <w:rFonts w:ascii="Tahoma" w:hAnsi="Tahoma" w:cs="Tahoma"/>
                <w:sz w:val="16"/>
                <w:szCs w:val="16"/>
                <w:u w:val="single"/>
              </w:rPr>
            </w:pPr>
            <w:r w:rsidRPr="00D01115">
              <w:rPr>
                <w:rFonts w:ascii="Tahoma" w:hAnsi="Tahoma" w:cs="Tahoma"/>
                <w:sz w:val="16"/>
                <w:szCs w:val="16"/>
                <w:u w:val="single"/>
              </w:rPr>
              <w:t>MATERIAL MEDICO:</w:t>
            </w:r>
          </w:p>
          <w:p w:rsidR="002E78D8" w:rsidRPr="00D01115" w:rsidRDefault="002E78D8" w:rsidP="00D01115">
            <w:pPr>
              <w:jc w:val="both"/>
              <w:rPr>
                <w:rFonts w:ascii="Tahoma" w:hAnsi="Tahoma" w:cs="Tahoma"/>
                <w:sz w:val="16"/>
                <w:szCs w:val="16"/>
              </w:rPr>
            </w:pPr>
            <w:r w:rsidRPr="00D01115">
              <w:rPr>
                <w:rFonts w:ascii="Tahoma" w:hAnsi="Tahoma" w:cs="Tahoma"/>
                <w:sz w:val="16"/>
                <w:szCs w:val="16"/>
              </w:rPr>
              <w:t>ABRAZADERA DE RECAMBIO</w:t>
            </w:r>
          </w:p>
          <w:p w:rsidR="002E78D8" w:rsidRPr="00D01115" w:rsidRDefault="002E78D8" w:rsidP="00D01115">
            <w:pPr>
              <w:jc w:val="both"/>
              <w:rPr>
                <w:rFonts w:ascii="Tahoma" w:hAnsi="Tahoma" w:cs="Tahoma"/>
                <w:sz w:val="16"/>
                <w:szCs w:val="16"/>
              </w:rPr>
            </w:pPr>
            <w:r w:rsidRPr="00D01115">
              <w:rPr>
                <w:rFonts w:ascii="Tahoma" w:hAnsi="Tahoma" w:cs="Tahoma"/>
                <w:sz w:val="16"/>
                <w:szCs w:val="16"/>
              </w:rPr>
              <w:t>ADAPTADOR DE TITANIO</w:t>
            </w:r>
          </w:p>
          <w:p w:rsidR="002E78D8" w:rsidRPr="00D01115" w:rsidRDefault="002E78D8" w:rsidP="00D01115">
            <w:pPr>
              <w:jc w:val="both"/>
              <w:rPr>
                <w:rFonts w:ascii="Tahoma" w:hAnsi="Tahoma" w:cs="Tahoma"/>
                <w:sz w:val="16"/>
                <w:szCs w:val="16"/>
              </w:rPr>
            </w:pPr>
            <w:r w:rsidRPr="00D01115">
              <w:rPr>
                <w:rFonts w:ascii="Tahoma" w:hAnsi="Tahoma" w:cs="Tahoma"/>
                <w:sz w:val="16"/>
                <w:szCs w:val="16"/>
              </w:rPr>
              <w:t>LINEA TRANSFERENCIA P/DESCONEXIÓN</w:t>
            </w:r>
          </w:p>
          <w:p w:rsidR="002E78D8" w:rsidRPr="00D01115" w:rsidRDefault="002E78D8" w:rsidP="00D01115">
            <w:pPr>
              <w:jc w:val="both"/>
              <w:rPr>
                <w:rFonts w:ascii="Tahoma" w:hAnsi="Tahoma" w:cs="Tahoma"/>
                <w:sz w:val="16"/>
                <w:szCs w:val="16"/>
              </w:rPr>
            </w:pPr>
            <w:r w:rsidRPr="00D01115">
              <w:rPr>
                <w:rFonts w:ascii="Tahoma" w:hAnsi="Tahoma" w:cs="Tahoma"/>
                <w:sz w:val="16"/>
                <w:szCs w:val="16"/>
              </w:rPr>
              <w:t>ULTRACAMP</w:t>
            </w:r>
          </w:p>
          <w:p w:rsidR="002E78D8" w:rsidRPr="00D01115" w:rsidRDefault="002E78D8" w:rsidP="00D01115">
            <w:pPr>
              <w:jc w:val="both"/>
              <w:rPr>
                <w:rFonts w:ascii="Tahoma" w:hAnsi="Tahoma" w:cs="Tahoma"/>
                <w:sz w:val="16"/>
                <w:szCs w:val="16"/>
              </w:rPr>
            </w:pPr>
            <w:r w:rsidRPr="00D01115">
              <w:rPr>
                <w:rFonts w:ascii="Tahoma" w:hAnsi="Tahoma" w:cs="Tahoma"/>
                <w:sz w:val="16"/>
                <w:szCs w:val="16"/>
              </w:rPr>
              <w:t>LINEA DE DRENAJE P/HEMOCHOICE</w:t>
            </w:r>
          </w:p>
          <w:p w:rsidR="002E78D8" w:rsidRPr="00D01115" w:rsidRDefault="002E78D8" w:rsidP="00D01115">
            <w:pPr>
              <w:jc w:val="both"/>
              <w:rPr>
                <w:rFonts w:ascii="Tahoma" w:hAnsi="Tahoma" w:cs="Tahoma"/>
                <w:sz w:val="16"/>
                <w:szCs w:val="16"/>
              </w:rPr>
            </w:pPr>
            <w:r w:rsidRPr="00D01115">
              <w:rPr>
                <w:rFonts w:ascii="Tahoma" w:hAnsi="Tahoma" w:cs="Tahoma"/>
                <w:sz w:val="16"/>
                <w:szCs w:val="16"/>
              </w:rPr>
              <w:t>SET DE TUBULADURAS P/CICLADOTA</w:t>
            </w:r>
          </w:p>
          <w:p w:rsidR="002E78D8" w:rsidRPr="00D01115" w:rsidRDefault="002E78D8" w:rsidP="00D01115">
            <w:pPr>
              <w:jc w:val="both"/>
              <w:rPr>
                <w:rFonts w:ascii="Tahoma" w:hAnsi="Tahoma" w:cs="Tahoma"/>
                <w:sz w:val="16"/>
                <w:szCs w:val="16"/>
                <w:u w:val="single"/>
              </w:rPr>
            </w:pPr>
            <w:r w:rsidRPr="00D01115">
              <w:rPr>
                <w:rFonts w:ascii="Tahoma" w:hAnsi="Tahoma" w:cs="Tahoma"/>
                <w:sz w:val="16"/>
                <w:szCs w:val="16"/>
                <w:u w:val="single"/>
              </w:rPr>
              <w:t>MEDICAMENTOS:</w:t>
            </w:r>
          </w:p>
          <w:p w:rsidR="002E78D8" w:rsidRPr="00D01115" w:rsidRDefault="002E78D8" w:rsidP="00D01115">
            <w:pPr>
              <w:jc w:val="both"/>
              <w:rPr>
                <w:rFonts w:ascii="Tahoma" w:hAnsi="Tahoma" w:cs="Tahoma"/>
                <w:sz w:val="16"/>
                <w:szCs w:val="16"/>
              </w:rPr>
            </w:pPr>
            <w:r w:rsidRPr="00D01115">
              <w:rPr>
                <w:rFonts w:ascii="Tahoma" w:hAnsi="Tahoma" w:cs="Tahoma"/>
                <w:sz w:val="16"/>
                <w:szCs w:val="16"/>
              </w:rPr>
              <w:t>DIANEAL PD-2 2.5% X 5L5</w:t>
            </w:r>
          </w:p>
          <w:p w:rsidR="002E78D8" w:rsidRPr="00D01115" w:rsidRDefault="002E78D8" w:rsidP="00D01115">
            <w:pPr>
              <w:jc w:val="both"/>
              <w:rPr>
                <w:rFonts w:ascii="Tahoma" w:hAnsi="Tahoma" w:cs="Tahoma"/>
                <w:sz w:val="16"/>
                <w:szCs w:val="16"/>
              </w:rPr>
            </w:pPr>
            <w:r w:rsidRPr="00D01115">
              <w:rPr>
                <w:rFonts w:ascii="Tahoma" w:hAnsi="Tahoma" w:cs="Tahoma"/>
                <w:sz w:val="16"/>
                <w:szCs w:val="16"/>
              </w:rPr>
              <w:t>DIANEAL PD-2 4.25% X 5LT</w:t>
            </w:r>
          </w:p>
          <w:p w:rsidR="002E78D8" w:rsidRPr="00D01115" w:rsidRDefault="002E78D8" w:rsidP="00D01115">
            <w:pPr>
              <w:jc w:val="both"/>
              <w:rPr>
                <w:rFonts w:ascii="Tahoma" w:hAnsi="Tahoma" w:cs="Tahoma"/>
                <w:sz w:val="16"/>
                <w:szCs w:val="16"/>
              </w:rPr>
            </w:pPr>
            <w:r w:rsidRPr="00D01115">
              <w:rPr>
                <w:rFonts w:ascii="Tahoma" w:hAnsi="Tahoma" w:cs="Tahoma"/>
                <w:sz w:val="16"/>
                <w:szCs w:val="16"/>
              </w:rPr>
              <w:t>DIANEAL PD-2 1.5% X 5LT</w:t>
            </w:r>
          </w:p>
          <w:p w:rsidR="002E78D8" w:rsidRPr="00D01115" w:rsidRDefault="002E78D8" w:rsidP="00D01115">
            <w:pPr>
              <w:jc w:val="both"/>
              <w:rPr>
                <w:rFonts w:ascii="Tahoma" w:hAnsi="Tahoma" w:cs="Tahoma"/>
                <w:sz w:val="16"/>
                <w:szCs w:val="16"/>
              </w:rPr>
            </w:pPr>
            <w:r w:rsidRPr="00D01115">
              <w:rPr>
                <w:rFonts w:ascii="Tahoma" w:hAnsi="Tahoma" w:cs="Tahoma"/>
                <w:sz w:val="16"/>
                <w:szCs w:val="16"/>
              </w:rPr>
              <w:t>ULTRABAG 1.5% X 2LT DIANEAL</w:t>
            </w:r>
          </w:p>
          <w:p w:rsidR="002E78D8" w:rsidRPr="00D01115" w:rsidRDefault="002E78D8" w:rsidP="00D01115">
            <w:pPr>
              <w:jc w:val="both"/>
              <w:rPr>
                <w:rFonts w:ascii="Tahoma" w:hAnsi="Tahoma" w:cs="Tahoma"/>
                <w:sz w:val="16"/>
                <w:szCs w:val="16"/>
              </w:rPr>
            </w:pPr>
            <w:r w:rsidRPr="00D01115">
              <w:rPr>
                <w:rFonts w:ascii="Tahoma" w:hAnsi="Tahoma" w:cs="Tahoma"/>
                <w:sz w:val="16"/>
                <w:szCs w:val="16"/>
              </w:rPr>
              <w:t>ULTRABAG 2.5% X 2.5LT CAMEX</w:t>
            </w:r>
          </w:p>
          <w:p w:rsidR="002E78D8" w:rsidRPr="00D01115" w:rsidRDefault="002E78D8" w:rsidP="00D01115">
            <w:pPr>
              <w:jc w:val="both"/>
              <w:rPr>
                <w:rFonts w:ascii="Tahoma" w:hAnsi="Tahoma" w:cs="Tahoma"/>
                <w:sz w:val="16"/>
                <w:szCs w:val="16"/>
              </w:rPr>
            </w:pPr>
            <w:r w:rsidRPr="00D01115">
              <w:rPr>
                <w:rFonts w:ascii="Tahoma" w:hAnsi="Tahoma" w:cs="Tahoma"/>
                <w:sz w:val="16"/>
                <w:szCs w:val="16"/>
              </w:rPr>
              <w:t>ULTRABAG 2.5% X 2LT DIANEAL</w:t>
            </w:r>
          </w:p>
          <w:p w:rsidR="002E78D8" w:rsidRPr="00D01115" w:rsidRDefault="002E78D8" w:rsidP="00D01115">
            <w:pPr>
              <w:jc w:val="both"/>
              <w:rPr>
                <w:rFonts w:ascii="Tahoma" w:hAnsi="Tahoma" w:cs="Tahoma"/>
                <w:sz w:val="16"/>
                <w:szCs w:val="16"/>
              </w:rPr>
            </w:pPr>
            <w:r w:rsidRPr="00D01115">
              <w:rPr>
                <w:rFonts w:ascii="Tahoma" w:hAnsi="Tahoma" w:cs="Tahoma"/>
                <w:sz w:val="16"/>
                <w:szCs w:val="16"/>
              </w:rPr>
              <w:t>ULTRABAG 4.25% X 2LT DIANEAL</w:t>
            </w:r>
          </w:p>
          <w:p w:rsidR="002E78D8" w:rsidRPr="00D01115" w:rsidRDefault="002E78D8" w:rsidP="00D01115">
            <w:pPr>
              <w:jc w:val="both"/>
              <w:rPr>
                <w:rFonts w:ascii="Tahoma" w:hAnsi="Tahoma" w:cs="Tahoma"/>
                <w:sz w:val="16"/>
                <w:szCs w:val="16"/>
              </w:rPr>
            </w:pPr>
            <w:r w:rsidRPr="00D01115">
              <w:rPr>
                <w:rFonts w:ascii="Tahoma" w:hAnsi="Tahoma" w:cs="Tahoma"/>
                <w:sz w:val="16"/>
                <w:szCs w:val="16"/>
              </w:rPr>
              <w:t>ULTRABAG DIANEAL 4.25 X 2.5LT</w:t>
            </w:r>
          </w:p>
          <w:p w:rsidR="002E78D8" w:rsidRPr="00D01115" w:rsidRDefault="002E78D8" w:rsidP="00D01115">
            <w:pPr>
              <w:jc w:val="both"/>
              <w:rPr>
                <w:rFonts w:ascii="Tahoma" w:hAnsi="Tahoma" w:cs="Tahoma"/>
                <w:sz w:val="16"/>
                <w:szCs w:val="16"/>
              </w:rPr>
            </w:pPr>
          </w:p>
        </w:tc>
        <w:tc>
          <w:tcPr>
            <w:tcW w:w="2659" w:type="dxa"/>
          </w:tcPr>
          <w:p w:rsidR="002E78D8" w:rsidRPr="00D01115" w:rsidRDefault="002E78D8" w:rsidP="00D01115">
            <w:pPr>
              <w:jc w:val="both"/>
              <w:rPr>
                <w:rFonts w:ascii="Tahoma" w:hAnsi="Tahoma" w:cs="Tahoma"/>
                <w:sz w:val="16"/>
                <w:szCs w:val="16"/>
              </w:rPr>
            </w:pPr>
          </w:p>
          <w:p w:rsidR="002E78D8" w:rsidRPr="00D01115" w:rsidRDefault="002E78D8" w:rsidP="00D01115">
            <w:pPr>
              <w:jc w:val="right"/>
              <w:rPr>
                <w:rFonts w:ascii="Tahoma" w:hAnsi="Tahoma" w:cs="Tahoma"/>
                <w:sz w:val="16"/>
                <w:szCs w:val="16"/>
              </w:rPr>
            </w:pPr>
            <w:r w:rsidRPr="00D01115">
              <w:rPr>
                <w:rFonts w:ascii="Tahoma" w:hAnsi="Tahoma" w:cs="Tahoma"/>
                <w:sz w:val="16"/>
                <w:szCs w:val="16"/>
              </w:rPr>
              <w:t>1,342.87</w:t>
            </w:r>
          </w:p>
          <w:p w:rsidR="002E78D8" w:rsidRPr="00D01115" w:rsidRDefault="002E78D8" w:rsidP="00D01115">
            <w:pPr>
              <w:jc w:val="right"/>
              <w:rPr>
                <w:rFonts w:ascii="Tahoma" w:hAnsi="Tahoma" w:cs="Tahoma"/>
                <w:sz w:val="16"/>
                <w:szCs w:val="16"/>
              </w:rPr>
            </w:pPr>
            <w:r w:rsidRPr="00D01115">
              <w:rPr>
                <w:rFonts w:ascii="Tahoma" w:hAnsi="Tahoma" w:cs="Tahoma"/>
                <w:sz w:val="16"/>
                <w:szCs w:val="16"/>
              </w:rPr>
              <w:t>7,199.98</w:t>
            </w:r>
          </w:p>
          <w:p w:rsidR="002E78D8" w:rsidRPr="00D01115" w:rsidRDefault="002E78D8" w:rsidP="00D01115">
            <w:pPr>
              <w:jc w:val="right"/>
              <w:rPr>
                <w:rFonts w:ascii="Tahoma" w:hAnsi="Tahoma" w:cs="Tahoma"/>
                <w:sz w:val="16"/>
                <w:szCs w:val="16"/>
              </w:rPr>
            </w:pPr>
            <w:r w:rsidRPr="00D01115">
              <w:rPr>
                <w:rFonts w:ascii="Tahoma" w:hAnsi="Tahoma" w:cs="Tahoma"/>
                <w:sz w:val="16"/>
                <w:szCs w:val="16"/>
              </w:rPr>
              <w:t>8,910.66</w:t>
            </w:r>
          </w:p>
          <w:p w:rsidR="002E78D8" w:rsidRPr="00D01115" w:rsidRDefault="002E78D8" w:rsidP="00D01115">
            <w:pPr>
              <w:jc w:val="right"/>
              <w:rPr>
                <w:rFonts w:ascii="Tahoma" w:hAnsi="Tahoma" w:cs="Tahoma"/>
                <w:sz w:val="16"/>
                <w:szCs w:val="16"/>
              </w:rPr>
            </w:pPr>
            <w:r w:rsidRPr="00D01115">
              <w:rPr>
                <w:rFonts w:ascii="Tahoma" w:hAnsi="Tahoma" w:cs="Tahoma"/>
                <w:sz w:val="16"/>
                <w:szCs w:val="16"/>
              </w:rPr>
              <w:t>60,020.13</w:t>
            </w:r>
          </w:p>
          <w:p w:rsidR="002E78D8" w:rsidRPr="00D01115" w:rsidRDefault="002E78D8" w:rsidP="00D01115">
            <w:pPr>
              <w:jc w:val="right"/>
              <w:rPr>
                <w:rFonts w:ascii="Tahoma" w:hAnsi="Tahoma" w:cs="Tahoma"/>
                <w:sz w:val="16"/>
                <w:szCs w:val="16"/>
              </w:rPr>
            </w:pPr>
            <w:r w:rsidRPr="00D01115">
              <w:rPr>
                <w:rFonts w:ascii="Tahoma" w:hAnsi="Tahoma" w:cs="Tahoma"/>
                <w:sz w:val="16"/>
                <w:szCs w:val="16"/>
              </w:rPr>
              <w:t>25,092.89</w:t>
            </w:r>
          </w:p>
          <w:p w:rsidR="002E78D8" w:rsidRPr="00D01115" w:rsidRDefault="002E78D8" w:rsidP="00D01115">
            <w:pPr>
              <w:jc w:val="right"/>
              <w:rPr>
                <w:rFonts w:ascii="Tahoma" w:hAnsi="Tahoma" w:cs="Tahoma"/>
                <w:sz w:val="16"/>
                <w:szCs w:val="16"/>
              </w:rPr>
            </w:pPr>
            <w:r w:rsidRPr="00D01115">
              <w:rPr>
                <w:rFonts w:ascii="Tahoma" w:hAnsi="Tahoma" w:cs="Tahoma"/>
                <w:sz w:val="16"/>
                <w:szCs w:val="16"/>
              </w:rPr>
              <w:t>439,170.97</w:t>
            </w:r>
          </w:p>
          <w:p w:rsidR="002E78D8" w:rsidRPr="00D01115" w:rsidRDefault="002E78D8" w:rsidP="00D01115">
            <w:pPr>
              <w:jc w:val="right"/>
              <w:rPr>
                <w:rFonts w:ascii="Tahoma" w:hAnsi="Tahoma" w:cs="Tahoma"/>
                <w:sz w:val="16"/>
                <w:szCs w:val="16"/>
              </w:rPr>
            </w:pPr>
          </w:p>
          <w:p w:rsidR="002E78D8" w:rsidRPr="00D01115" w:rsidRDefault="002E78D8" w:rsidP="00D01115">
            <w:pPr>
              <w:jc w:val="right"/>
              <w:rPr>
                <w:rFonts w:ascii="Tahoma" w:hAnsi="Tahoma" w:cs="Tahoma"/>
                <w:sz w:val="16"/>
                <w:szCs w:val="16"/>
              </w:rPr>
            </w:pPr>
            <w:r w:rsidRPr="00D01115">
              <w:rPr>
                <w:rFonts w:ascii="Tahoma" w:hAnsi="Tahoma" w:cs="Tahoma"/>
                <w:sz w:val="16"/>
                <w:szCs w:val="16"/>
              </w:rPr>
              <w:t>865,900.73</w:t>
            </w:r>
          </w:p>
          <w:p w:rsidR="002E78D8" w:rsidRPr="00D01115" w:rsidRDefault="002E78D8" w:rsidP="00D01115">
            <w:pPr>
              <w:jc w:val="right"/>
              <w:rPr>
                <w:rFonts w:ascii="Tahoma" w:hAnsi="Tahoma" w:cs="Tahoma"/>
                <w:sz w:val="16"/>
                <w:szCs w:val="16"/>
              </w:rPr>
            </w:pPr>
            <w:r w:rsidRPr="00D01115">
              <w:rPr>
                <w:rFonts w:ascii="Tahoma" w:hAnsi="Tahoma" w:cs="Tahoma"/>
                <w:sz w:val="16"/>
                <w:szCs w:val="16"/>
              </w:rPr>
              <w:t>44,461.49</w:t>
            </w:r>
          </w:p>
          <w:p w:rsidR="002E78D8" w:rsidRPr="00D01115" w:rsidRDefault="002E78D8" w:rsidP="00D01115">
            <w:pPr>
              <w:jc w:val="right"/>
              <w:rPr>
                <w:rFonts w:ascii="Tahoma" w:hAnsi="Tahoma" w:cs="Tahoma"/>
                <w:sz w:val="16"/>
                <w:szCs w:val="16"/>
              </w:rPr>
            </w:pPr>
            <w:r w:rsidRPr="00D01115">
              <w:rPr>
                <w:rFonts w:ascii="Tahoma" w:hAnsi="Tahoma" w:cs="Tahoma"/>
                <w:sz w:val="16"/>
                <w:szCs w:val="16"/>
              </w:rPr>
              <w:t>199,062.32</w:t>
            </w:r>
          </w:p>
          <w:p w:rsidR="002E78D8" w:rsidRPr="00D01115" w:rsidRDefault="002E78D8" w:rsidP="00D01115">
            <w:pPr>
              <w:jc w:val="right"/>
              <w:rPr>
                <w:rFonts w:ascii="Tahoma" w:hAnsi="Tahoma" w:cs="Tahoma"/>
                <w:sz w:val="16"/>
                <w:szCs w:val="16"/>
              </w:rPr>
            </w:pPr>
            <w:r w:rsidRPr="00D01115">
              <w:rPr>
                <w:rFonts w:ascii="Tahoma" w:hAnsi="Tahoma" w:cs="Tahoma"/>
                <w:sz w:val="16"/>
                <w:szCs w:val="16"/>
              </w:rPr>
              <w:t>3,691,390.50</w:t>
            </w:r>
          </w:p>
          <w:p w:rsidR="002E78D8" w:rsidRPr="00D01115" w:rsidRDefault="002E78D8" w:rsidP="00D01115">
            <w:pPr>
              <w:jc w:val="right"/>
              <w:rPr>
                <w:rFonts w:ascii="Tahoma" w:hAnsi="Tahoma" w:cs="Tahoma"/>
                <w:sz w:val="16"/>
                <w:szCs w:val="16"/>
              </w:rPr>
            </w:pPr>
            <w:r w:rsidRPr="00D01115">
              <w:rPr>
                <w:rFonts w:ascii="Tahoma" w:hAnsi="Tahoma" w:cs="Tahoma"/>
                <w:sz w:val="16"/>
                <w:szCs w:val="16"/>
              </w:rPr>
              <w:t>424,417.22</w:t>
            </w:r>
          </w:p>
          <w:p w:rsidR="002E78D8" w:rsidRPr="00D01115" w:rsidRDefault="002E78D8" w:rsidP="00D01115">
            <w:pPr>
              <w:jc w:val="right"/>
              <w:rPr>
                <w:rFonts w:ascii="Tahoma" w:hAnsi="Tahoma" w:cs="Tahoma"/>
                <w:sz w:val="16"/>
                <w:szCs w:val="16"/>
              </w:rPr>
            </w:pPr>
            <w:r w:rsidRPr="00D01115">
              <w:rPr>
                <w:rFonts w:ascii="Tahoma" w:hAnsi="Tahoma" w:cs="Tahoma"/>
                <w:sz w:val="16"/>
                <w:szCs w:val="16"/>
              </w:rPr>
              <w:t>2,043,080.57</w:t>
            </w:r>
          </w:p>
          <w:p w:rsidR="002E78D8" w:rsidRPr="00D01115" w:rsidRDefault="002E78D8" w:rsidP="00D01115">
            <w:pPr>
              <w:jc w:val="right"/>
              <w:rPr>
                <w:rFonts w:ascii="Tahoma" w:hAnsi="Tahoma" w:cs="Tahoma"/>
                <w:sz w:val="16"/>
                <w:szCs w:val="16"/>
              </w:rPr>
            </w:pPr>
            <w:r w:rsidRPr="00D01115">
              <w:rPr>
                <w:rFonts w:ascii="Tahoma" w:hAnsi="Tahoma" w:cs="Tahoma"/>
                <w:sz w:val="16"/>
                <w:szCs w:val="16"/>
              </w:rPr>
              <w:t>545,396.45</w:t>
            </w:r>
          </w:p>
          <w:p w:rsidR="002E78D8" w:rsidRPr="00D01115" w:rsidRDefault="002E78D8" w:rsidP="00D01115">
            <w:pPr>
              <w:jc w:val="right"/>
              <w:rPr>
                <w:rFonts w:ascii="Tahoma" w:hAnsi="Tahoma" w:cs="Tahoma"/>
                <w:sz w:val="16"/>
                <w:szCs w:val="16"/>
              </w:rPr>
            </w:pPr>
            <w:r w:rsidRPr="00D01115">
              <w:rPr>
                <w:rFonts w:ascii="Tahoma" w:hAnsi="Tahoma" w:cs="Tahoma"/>
                <w:sz w:val="16"/>
                <w:szCs w:val="16"/>
              </w:rPr>
              <w:t>42,245.77</w:t>
            </w:r>
          </w:p>
        </w:tc>
      </w:tr>
      <w:tr w:rsidR="002E78D8" w:rsidTr="00D01115">
        <w:tc>
          <w:tcPr>
            <w:tcW w:w="5387" w:type="dxa"/>
          </w:tcPr>
          <w:p w:rsidR="002E78D8" w:rsidRPr="00D01115" w:rsidRDefault="002E78D8" w:rsidP="00D01115">
            <w:pPr>
              <w:jc w:val="center"/>
              <w:rPr>
                <w:rFonts w:ascii="Tahoma" w:hAnsi="Tahoma" w:cs="Tahoma"/>
                <w:sz w:val="16"/>
                <w:szCs w:val="16"/>
              </w:rPr>
            </w:pPr>
            <w:r w:rsidRPr="00D01115">
              <w:rPr>
                <w:rFonts w:ascii="Tahoma" w:hAnsi="Tahoma" w:cs="Tahoma"/>
                <w:sz w:val="16"/>
                <w:szCs w:val="16"/>
              </w:rPr>
              <w:t>TOTAL</w:t>
            </w:r>
          </w:p>
        </w:tc>
        <w:tc>
          <w:tcPr>
            <w:tcW w:w="2659" w:type="dxa"/>
          </w:tcPr>
          <w:p w:rsidR="002E78D8" w:rsidRPr="00D01115" w:rsidRDefault="002E78D8" w:rsidP="00D01115">
            <w:pPr>
              <w:jc w:val="right"/>
              <w:rPr>
                <w:rFonts w:ascii="Tahoma" w:hAnsi="Tahoma" w:cs="Tahoma"/>
                <w:sz w:val="16"/>
                <w:szCs w:val="16"/>
              </w:rPr>
            </w:pPr>
            <w:r w:rsidRPr="00D01115">
              <w:rPr>
                <w:rFonts w:ascii="Tahoma" w:hAnsi="Tahoma" w:cs="Tahoma"/>
                <w:sz w:val="16"/>
                <w:szCs w:val="16"/>
              </w:rPr>
              <w:t>8,397,692.55</w:t>
            </w:r>
          </w:p>
        </w:tc>
      </w:tr>
    </w:tbl>
    <w:p w:rsidR="002E78D8" w:rsidRDefault="002E78D8" w:rsidP="002E78D8">
      <w:pPr>
        <w:ind w:left="567"/>
        <w:jc w:val="both"/>
        <w:rPr>
          <w:rFonts w:ascii="Tahoma" w:hAnsi="Tahoma" w:cs="Tahoma"/>
          <w:sz w:val="22"/>
          <w:szCs w:val="22"/>
        </w:rPr>
      </w:pPr>
    </w:p>
    <w:p w:rsidR="002E78D8" w:rsidRDefault="002E78D8" w:rsidP="002E78D8">
      <w:pPr>
        <w:numPr>
          <w:ilvl w:val="0"/>
          <w:numId w:val="1"/>
        </w:numPr>
        <w:ind w:left="567" w:hanging="567"/>
        <w:jc w:val="both"/>
        <w:rPr>
          <w:rFonts w:ascii="Tahoma" w:hAnsi="Tahoma" w:cs="Tahoma"/>
          <w:sz w:val="22"/>
          <w:szCs w:val="22"/>
        </w:rPr>
      </w:pPr>
      <w:r>
        <w:rPr>
          <w:rFonts w:ascii="Tahoma" w:hAnsi="Tahoma" w:cs="Tahoma"/>
          <w:sz w:val="22"/>
          <w:szCs w:val="22"/>
        </w:rPr>
        <w:t>En efecto, tal como se puede apreciar, el Impugnante ha cumplido con presentar la conformidad del</w:t>
      </w:r>
      <w:r w:rsidRPr="00E04694">
        <w:rPr>
          <w:rFonts w:ascii="Tahoma" w:hAnsi="Tahoma" w:cs="Tahoma"/>
          <w:sz w:val="22"/>
          <w:szCs w:val="22"/>
        </w:rPr>
        <w:t xml:space="preserve"> Contrato de Distribución Exclusiva suscrito entre Laboratorios Baxter del Perú S.A. y Laboratorios Hersil S.A. de fecha 18 de mayo del 2006</w:t>
      </w:r>
      <w:r>
        <w:rPr>
          <w:rFonts w:ascii="Tahoma" w:hAnsi="Tahoma" w:cs="Tahoma"/>
          <w:sz w:val="22"/>
          <w:szCs w:val="22"/>
        </w:rPr>
        <w:t>, en el cual acreditó que ha realizado la venta de Sistemas de Diálisis Peritoneal Automatizado Continua (DIPAC), por los periodos correspondientes al 1º enero del 2010 al 30 de Junio del 2010, por un valor de S/. 8’397,692.55 Nuevos Soles, por lo que corresponde otorgarle el puntaje correspondiente, según lo establecido en las Bases Integradas.</w:t>
      </w:r>
    </w:p>
    <w:p w:rsidR="002E78D8" w:rsidRDefault="002E78D8" w:rsidP="002E78D8">
      <w:pPr>
        <w:ind w:left="567"/>
        <w:jc w:val="both"/>
        <w:rPr>
          <w:rFonts w:ascii="Tahoma" w:hAnsi="Tahoma" w:cs="Tahoma"/>
          <w:sz w:val="22"/>
          <w:szCs w:val="22"/>
        </w:rPr>
      </w:pPr>
    </w:p>
    <w:p w:rsidR="002E78D8" w:rsidRDefault="002E78D8" w:rsidP="002E78D8">
      <w:pPr>
        <w:numPr>
          <w:ilvl w:val="0"/>
          <w:numId w:val="1"/>
        </w:numPr>
        <w:ind w:left="567" w:hanging="567"/>
        <w:jc w:val="both"/>
        <w:rPr>
          <w:rFonts w:ascii="Tahoma" w:hAnsi="Tahoma" w:cs="Tahoma"/>
          <w:sz w:val="22"/>
          <w:szCs w:val="22"/>
        </w:rPr>
      </w:pPr>
      <w:r>
        <w:rPr>
          <w:rFonts w:ascii="Tahoma" w:hAnsi="Tahoma" w:cs="Tahoma"/>
          <w:sz w:val="22"/>
          <w:szCs w:val="22"/>
        </w:rPr>
        <w:t>Ahora bien, en el numeral 5.1 del Capítulo V – Criterios de Evaluación de las Bases Integradas, se ha establecido los puntajes que se le asignará a los postores, respecto al factor de evaluación experiencia del postor, bajo el siguiente detalle:</w:t>
      </w:r>
    </w:p>
    <w:p w:rsidR="002E78D8" w:rsidRPr="00E06FAC" w:rsidRDefault="002E78D8" w:rsidP="002E78D8">
      <w:pPr>
        <w:rPr>
          <w:rFonts w:ascii="Tahoma" w:hAnsi="Tahoma" w:cs="Tahoma"/>
          <w:sz w:val="22"/>
          <w:szCs w:val="22"/>
        </w:rPr>
      </w:pPr>
    </w:p>
    <w:p w:rsidR="002E78D8" w:rsidRPr="00E06FAC" w:rsidRDefault="002E78D8" w:rsidP="002E78D8">
      <w:pPr>
        <w:ind w:left="851" w:right="283"/>
        <w:jc w:val="both"/>
        <w:rPr>
          <w:rFonts w:ascii="Tahoma" w:hAnsi="Tahoma" w:cs="Tahoma"/>
          <w:i/>
          <w:sz w:val="16"/>
          <w:szCs w:val="16"/>
          <w:lang w:val="es-PE"/>
        </w:rPr>
      </w:pPr>
      <w:r w:rsidRPr="00E06FAC">
        <w:rPr>
          <w:rFonts w:ascii="Tahoma" w:hAnsi="Tahoma" w:cs="Tahoma"/>
          <w:i/>
          <w:sz w:val="16"/>
          <w:szCs w:val="16"/>
          <w:lang w:val="es-PE"/>
        </w:rPr>
        <w:t xml:space="preserve">“Los postores calificarán en el factor experiencia, según lo indicado en la siguiente tabla (De acuerdo al </w:t>
      </w:r>
      <w:r w:rsidRPr="00E06FAC">
        <w:rPr>
          <w:rFonts w:ascii="Tahoma" w:hAnsi="Tahoma" w:cs="Tahoma"/>
          <w:b/>
          <w:i/>
          <w:sz w:val="16"/>
          <w:szCs w:val="16"/>
          <w:lang w:val="es-PE"/>
        </w:rPr>
        <w:t>numeral 2.10.1.2  literal a) de las Bases</w:t>
      </w:r>
      <w:r w:rsidRPr="00E06FAC">
        <w:rPr>
          <w:rFonts w:ascii="Tahoma" w:hAnsi="Tahoma" w:cs="Tahoma"/>
          <w:i/>
          <w:sz w:val="16"/>
          <w:szCs w:val="16"/>
          <w:lang w:val="es-PE"/>
        </w:rPr>
        <w:t>)</w:t>
      </w:r>
    </w:p>
    <w:p w:rsidR="002E78D8" w:rsidRPr="00E06FAC" w:rsidRDefault="002E78D8" w:rsidP="002E78D8">
      <w:pPr>
        <w:ind w:left="1134"/>
        <w:jc w:val="both"/>
        <w:rPr>
          <w:rFonts w:ascii="Tahoma" w:hAnsi="Tahoma" w:cs="Tahoma"/>
          <w:i/>
          <w:sz w:val="16"/>
          <w:szCs w:val="16"/>
          <w:lang w:val="es-PE"/>
        </w:rPr>
      </w:pPr>
    </w:p>
    <w:tbl>
      <w:tblPr>
        <w:tblW w:w="7371"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6204"/>
        <w:gridCol w:w="1167"/>
      </w:tblGrid>
      <w:tr w:rsidR="002E78D8" w:rsidRPr="00E06FAC" w:rsidTr="007234C9">
        <w:trPr>
          <w:cantSplit/>
          <w:trHeight w:val="540"/>
        </w:trPr>
        <w:tc>
          <w:tcPr>
            <w:tcW w:w="6204" w:type="dxa"/>
            <w:shd w:val="pct12" w:color="auto" w:fill="FFFFFF"/>
            <w:vAlign w:val="center"/>
          </w:tcPr>
          <w:p w:rsidR="002E78D8" w:rsidRPr="00E06FAC" w:rsidRDefault="002E78D8" w:rsidP="007234C9">
            <w:pPr>
              <w:ind w:right="-45"/>
              <w:jc w:val="center"/>
              <w:rPr>
                <w:rFonts w:ascii="Tahoma" w:hAnsi="Tahoma" w:cs="Tahoma"/>
                <w:b/>
                <w:i/>
                <w:sz w:val="16"/>
                <w:szCs w:val="16"/>
                <w:lang w:val="es-PE"/>
              </w:rPr>
            </w:pPr>
            <w:r w:rsidRPr="00E06FAC">
              <w:rPr>
                <w:rFonts w:ascii="Tahoma" w:hAnsi="Tahoma" w:cs="Tahoma"/>
                <w:b/>
                <w:i/>
                <w:sz w:val="16"/>
                <w:szCs w:val="16"/>
                <w:lang w:val="es-PE"/>
              </w:rPr>
              <w:t xml:space="preserve">SUMA TOTAL DE LOS MONTOS DE CONTRATOS, ÓRDENES DE COMPRA, </w:t>
            </w:r>
            <w:r w:rsidRPr="00E06FAC">
              <w:rPr>
                <w:rFonts w:ascii="Tahoma" w:hAnsi="Tahoma" w:cs="Tahoma"/>
                <w:b/>
                <w:i/>
                <w:sz w:val="16"/>
                <w:szCs w:val="16"/>
              </w:rPr>
              <w:t xml:space="preserve">COMPROBANTES DE PAGO </w:t>
            </w:r>
            <w:r w:rsidRPr="00E06FAC">
              <w:rPr>
                <w:rFonts w:ascii="Tahoma" w:hAnsi="Tahoma" w:cs="Tahoma"/>
                <w:b/>
                <w:i/>
                <w:sz w:val="16"/>
                <w:szCs w:val="16"/>
                <w:lang w:val="es-PE"/>
              </w:rPr>
              <w:t>(Anexo Nº 10)</w:t>
            </w:r>
          </w:p>
        </w:tc>
        <w:tc>
          <w:tcPr>
            <w:tcW w:w="1167" w:type="dxa"/>
            <w:tcBorders>
              <w:bottom w:val="single" w:sz="4" w:space="0" w:color="auto"/>
            </w:tcBorders>
            <w:shd w:val="pct12" w:color="auto" w:fill="FFFFFF"/>
            <w:vAlign w:val="center"/>
          </w:tcPr>
          <w:p w:rsidR="002E78D8" w:rsidRPr="00E06FAC" w:rsidRDefault="002E78D8" w:rsidP="007234C9">
            <w:pPr>
              <w:ind w:right="-45"/>
              <w:jc w:val="center"/>
              <w:rPr>
                <w:rFonts w:ascii="Tahoma" w:hAnsi="Tahoma" w:cs="Tahoma"/>
                <w:b/>
                <w:i/>
                <w:sz w:val="16"/>
                <w:szCs w:val="16"/>
                <w:lang w:val="es-PE"/>
              </w:rPr>
            </w:pPr>
            <w:r w:rsidRPr="00E06FAC">
              <w:rPr>
                <w:rFonts w:ascii="Tahoma" w:hAnsi="Tahoma" w:cs="Tahoma"/>
                <w:b/>
                <w:i/>
                <w:sz w:val="16"/>
                <w:szCs w:val="16"/>
                <w:lang w:val="es-PE"/>
              </w:rPr>
              <w:t>PUNTAJE</w:t>
            </w:r>
          </w:p>
        </w:tc>
      </w:tr>
      <w:tr w:rsidR="002E78D8" w:rsidRPr="00E06FAC" w:rsidTr="007234C9">
        <w:trPr>
          <w:cantSplit/>
          <w:trHeight w:val="251"/>
        </w:trPr>
        <w:tc>
          <w:tcPr>
            <w:tcW w:w="6204" w:type="dxa"/>
            <w:vAlign w:val="center"/>
          </w:tcPr>
          <w:p w:rsidR="002E78D8" w:rsidRPr="00E06FAC" w:rsidRDefault="002E78D8" w:rsidP="007234C9">
            <w:pPr>
              <w:ind w:right="-45"/>
              <w:jc w:val="both"/>
              <w:rPr>
                <w:rFonts w:ascii="Tahoma" w:hAnsi="Tahoma" w:cs="Tahoma"/>
                <w:i/>
                <w:sz w:val="16"/>
                <w:szCs w:val="16"/>
                <w:lang w:val="es-PE"/>
              </w:rPr>
            </w:pPr>
            <w:r w:rsidRPr="00E06FAC">
              <w:rPr>
                <w:rFonts w:ascii="Tahoma" w:hAnsi="Tahoma" w:cs="Tahoma"/>
                <w:i/>
                <w:sz w:val="16"/>
                <w:szCs w:val="16"/>
                <w:lang w:val="es-PE"/>
              </w:rPr>
              <w:t xml:space="preserve">Mayor al 100% del valor referencial total del item </w:t>
            </w:r>
          </w:p>
        </w:tc>
        <w:tc>
          <w:tcPr>
            <w:tcW w:w="1167" w:type="dxa"/>
            <w:vAlign w:val="center"/>
          </w:tcPr>
          <w:p w:rsidR="002E78D8" w:rsidRPr="00E06FAC" w:rsidRDefault="002E78D8" w:rsidP="007234C9">
            <w:pPr>
              <w:ind w:right="-45"/>
              <w:jc w:val="center"/>
              <w:rPr>
                <w:rFonts w:ascii="Tahoma" w:hAnsi="Tahoma" w:cs="Tahoma"/>
                <w:i/>
                <w:sz w:val="16"/>
                <w:szCs w:val="16"/>
                <w:lang w:val="es-PE"/>
              </w:rPr>
            </w:pPr>
            <w:r w:rsidRPr="00E06FAC">
              <w:rPr>
                <w:rFonts w:ascii="Tahoma" w:hAnsi="Tahoma" w:cs="Tahoma"/>
                <w:i/>
                <w:sz w:val="16"/>
                <w:szCs w:val="16"/>
                <w:lang w:val="es-PE"/>
              </w:rPr>
              <w:t>40</w:t>
            </w:r>
          </w:p>
        </w:tc>
      </w:tr>
      <w:tr w:rsidR="002E78D8" w:rsidRPr="00E06FAC" w:rsidTr="007234C9">
        <w:trPr>
          <w:cantSplit/>
          <w:trHeight w:val="251"/>
        </w:trPr>
        <w:tc>
          <w:tcPr>
            <w:tcW w:w="6204" w:type="dxa"/>
            <w:vAlign w:val="center"/>
          </w:tcPr>
          <w:p w:rsidR="002E78D8" w:rsidRPr="00E06FAC" w:rsidRDefault="002E78D8" w:rsidP="007234C9">
            <w:pPr>
              <w:ind w:right="-45"/>
              <w:jc w:val="both"/>
              <w:rPr>
                <w:rFonts w:ascii="Tahoma" w:hAnsi="Tahoma" w:cs="Tahoma"/>
                <w:i/>
                <w:sz w:val="16"/>
                <w:szCs w:val="16"/>
                <w:lang w:val="es-PE"/>
              </w:rPr>
            </w:pPr>
            <w:r w:rsidRPr="00E06FAC">
              <w:rPr>
                <w:rFonts w:ascii="Tahoma" w:hAnsi="Tahoma" w:cs="Tahoma"/>
                <w:i/>
                <w:sz w:val="16"/>
                <w:szCs w:val="16"/>
                <w:lang w:val="es-PE"/>
              </w:rPr>
              <w:t xml:space="preserve">Mayor al 80% hasta el 100% del valor referencial total del item </w:t>
            </w:r>
          </w:p>
        </w:tc>
        <w:tc>
          <w:tcPr>
            <w:tcW w:w="1167" w:type="dxa"/>
            <w:vAlign w:val="center"/>
          </w:tcPr>
          <w:p w:rsidR="002E78D8" w:rsidRPr="00E06FAC" w:rsidRDefault="002E78D8" w:rsidP="007234C9">
            <w:pPr>
              <w:ind w:right="-45"/>
              <w:jc w:val="center"/>
              <w:rPr>
                <w:rFonts w:ascii="Tahoma" w:hAnsi="Tahoma" w:cs="Tahoma"/>
                <w:i/>
                <w:sz w:val="16"/>
                <w:szCs w:val="16"/>
                <w:lang w:val="es-PE"/>
              </w:rPr>
            </w:pPr>
            <w:r w:rsidRPr="00E06FAC">
              <w:rPr>
                <w:rFonts w:ascii="Tahoma" w:hAnsi="Tahoma" w:cs="Tahoma"/>
                <w:i/>
                <w:sz w:val="16"/>
                <w:szCs w:val="16"/>
                <w:lang w:val="es-PE"/>
              </w:rPr>
              <w:t>30</w:t>
            </w:r>
          </w:p>
        </w:tc>
      </w:tr>
      <w:tr w:rsidR="002E78D8" w:rsidRPr="00E06FAC" w:rsidTr="007234C9">
        <w:trPr>
          <w:cantSplit/>
          <w:trHeight w:val="282"/>
        </w:trPr>
        <w:tc>
          <w:tcPr>
            <w:tcW w:w="6204" w:type="dxa"/>
            <w:vAlign w:val="center"/>
          </w:tcPr>
          <w:p w:rsidR="002E78D8" w:rsidRPr="00E06FAC" w:rsidRDefault="002E78D8" w:rsidP="007234C9">
            <w:pPr>
              <w:ind w:right="-45"/>
              <w:jc w:val="both"/>
              <w:rPr>
                <w:rFonts w:ascii="Tahoma" w:hAnsi="Tahoma" w:cs="Tahoma"/>
                <w:i/>
                <w:sz w:val="16"/>
                <w:szCs w:val="16"/>
                <w:lang w:val="es-PE"/>
              </w:rPr>
            </w:pPr>
            <w:r w:rsidRPr="00E06FAC">
              <w:rPr>
                <w:rFonts w:ascii="Tahoma" w:hAnsi="Tahoma" w:cs="Tahoma"/>
                <w:i/>
                <w:sz w:val="16"/>
                <w:szCs w:val="16"/>
                <w:lang w:val="es-PE"/>
              </w:rPr>
              <w:t>Igual o mayor al 40% hasta el 80% del valor referencial total del item</w:t>
            </w:r>
          </w:p>
        </w:tc>
        <w:tc>
          <w:tcPr>
            <w:tcW w:w="1167" w:type="dxa"/>
            <w:vAlign w:val="center"/>
          </w:tcPr>
          <w:p w:rsidR="002E78D8" w:rsidRPr="00E06FAC" w:rsidRDefault="002E78D8" w:rsidP="007234C9">
            <w:pPr>
              <w:ind w:right="-45"/>
              <w:jc w:val="center"/>
              <w:rPr>
                <w:rFonts w:ascii="Tahoma" w:hAnsi="Tahoma" w:cs="Tahoma"/>
                <w:i/>
                <w:sz w:val="16"/>
                <w:szCs w:val="16"/>
                <w:lang w:val="es-PE"/>
              </w:rPr>
            </w:pPr>
            <w:r w:rsidRPr="00E06FAC">
              <w:rPr>
                <w:rFonts w:ascii="Tahoma" w:hAnsi="Tahoma" w:cs="Tahoma"/>
                <w:i/>
                <w:sz w:val="16"/>
                <w:szCs w:val="16"/>
                <w:lang w:val="es-PE"/>
              </w:rPr>
              <w:t>20</w:t>
            </w:r>
          </w:p>
        </w:tc>
      </w:tr>
    </w:tbl>
    <w:p w:rsidR="002E78D8" w:rsidRPr="00E06FAC" w:rsidRDefault="002E78D8" w:rsidP="002E78D8">
      <w:pPr>
        <w:spacing w:after="120"/>
        <w:ind w:left="567" w:right="-1"/>
        <w:jc w:val="both"/>
        <w:rPr>
          <w:rFonts w:ascii="Tahoma" w:hAnsi="Tahoma" w:cs="Tahoma"/>
          <w:b/>
          <w:i/>
          <w:sz w:val="16"/>
          <w:szCs w:val="16"/>
        </w:rPr>
      </w:pPr>
    </w:p>
    <w:p w:rsidR="002E78D8" w:rsidRPr="00E06FAC" w:rsidRDefault="002E78D8" w:rsidP="002E78D8">
      <w:pPr>
        <w:spacing w:after="120"/>
        <w:ind w:left="851" w:right="283"/>
        <w:jc w:val="both"/>
        <w:rPr>
          <w:rFonts w:ascii="Tahoma" w:hAnsi="Tahoma" w:cs="Tahoma"/>
          <w:i/>
          <w:sz w:val="16"/>
          <w:szCs w:val="16"/>
        </w:rPr>
      </w:pPr>
      <w:r w:rsidRPr="00E06FAC">
        <w:rPr>
          <w:rFonts w:ascii="Tahoma" w:hAnsi="Tahoma" w:cs="Tahoma"/>
          <w:b/>
          <w:i/>
          <w:sz w:val="16"/>
          <w:szCs w:val="16"/>
        </w:rPr>
        <w:t xml:space="preserve">Nota.- </w:t>
      </w:r>
      <w:r w:rsidRPr="00E06FAC">
        <w:rPr>
          <w:rFonts w:ascii="Tahoma" w:hAnsi="Tahoma" w:cs="Tahoma"/>
          <w:i/>
          <w:sz w:val="16"/>
          <w:szCs w:val="16"/>
        </w:rPr>
        <w:t>El postor que oferte montos menores al 40% del valor referencial o no presente ninguna copia de los contratos y/o ordenes de compra y/o comprobantes de pago cancelados será calificado con cero (00) puntos”.</w:t>
      </w:r>
    </w:p>
    <w:p w:rsidR="002E78D8" w:rsidRDefault="002E78D8" w:rsidP="002E78D8">
      <w:pPr>
        <w:numPr>
          <w:ilvl w:val="0"/>
          <w:numId w:val="1"/>
        </w:numPr>
        <w:ind w:left="567" w:hanging="567"/>
        <w:jc w:val="both"/>
        <w:rPr>
          <w:rFonts w:ascii="Tahoma" w:hAnsi="Tahoma" w:cs="Tahoma"/>
          <w:sz w:val="22"/>
          <w:szCs w:val="22"/>
        </w:rPr>
      </w:pPr>
      <w:r>
        <w:rPr>
          <w:rFonts w:ascii="Tahoma" w:hAnsi="Tahoma" w:cs="Tahoma"/>
          <w:sz w:val="22"/>
          <w:szCs w:val="22"/>
        </w:rPr>
        <w:t xml:space="preserve">En tal sentido, considerando que el Impugnante ha acreditado la venta de Sistemas de Diálisis Peritoneal Automatizado Continua (DIPAC), por un valor de S/. 8’397,692.55 Nuevos Soles, superando dicho monto el 100% del valor </w:t>
      </w:r>
      <w:r>
        <w:rPr>
          <w:rFonts w:ascii="Tahoma" w:hAnsi="Tahoma" w:cs="Tahoma"/>
          <w:sz w:val="22"/>
          <w:szCs w:val="22"/>
        </w:rPr>
        <w:lastRenderedPageBreak/>
        <w:t>referencia, el mismo que ascendía a S/. 2,345,566.05; corresponde otorgar al Impugnante 40 puntos.</w:t>
      </w:r>
    </w:p>
    <w:p w:rsidR="002E78D8" w:rsidRDefault="002E78D8" w:rsidP="002E78D8">
      <w:pPr>
        <w:pStyle w:val="Prrafodelista"/>
        <w:ind w:left="567"/>
        <w:rPr>
          <w:rFonts w:ascii="Tahoma" w:hAnsi="Tahoma" w:cs="Tahoma"/>
          <w:sz w:val="22"/>
          <w:szCs w:val="22"/>
        </w:rPr>
      </w:pPr>
    </w:p>
    <w:p w:rsidR="002E78D8" w:rsidRPr="008E0C76" w:rsidRDefault="002E78D8" w:rsidP="002E78D8">
      <w:pPr>
        <w:pStyle w:val="Prrafodelista"/>
        <w:ind w:left="567"/>
        <w:rPr>
          <w:rFonts w:ascii="Tahoma" w:hAnsi="Tahoma" w:cs="Tahoma"/>
          <w:b/>
          <w:sz w:val="22"/>
          <w:szCs w:val="22"/>
        </w:rPr>
      </w:pPr>
      <w:r w:rsidRPr="008E0C76">
        <w:rPr>
          <w:rFonts w:ascii="Tahoma" w:hAnsi="Tahoma" w:cs="Tahoma"/>
          <w:b/>
          <w:sz w:val="22"/>
          <w:szCs w:val="22"/>
        </w:rPr>
        <w:t>SOBRE EL FACTOR REFERIDO AL CUMPLIMIENTO DE LA PRESTACIÓN</w:t>
      </w:r>
    </w:p>
    <w:p w:rsidR="002E78D8" w:rsidRDefault="002E78D8" w:rsidP="002E78D8">
      <w:pPr>
        <w:pStyle w:val="Prrafodelista"/>
        <w:ind w:left="567"/>
        <w:rPr>
          <w:rFonts w:ascii="Tahoma" w:hAnsi="Tahoma" w:cs="Tahoma"/>
          <w:sz w:val="22"/>
          <w:szCs w:val="22"/>
        </w:rPr>
      </w:pPr>
    </w:p>
    <w:p w:rsidR="002E78D8" w:rsidRDefault="002E78D8" w:rsidP="002E78D8">
      <w:pPr>
        <w:numPr>
          <w:ilvl w:val="0"/>
          <w:numId w:val="1"/>
        </w:numPr>
        <w:ind w:left="567" w:hanging="567"/>
        <w:jc w:val="both"/>
        <w:rPr>
          <w:rFonts w:ascii="Tahoma" w:hAnsi="Tahoma" w:cs="Tahoma"/>
          <w:sz w:val="22"/>
          <w:szCs w:val="22"/>
        </w:rPr>
      </w:pPr>
      <w:r>
        <w:rPr>
          <w:rFonts w:ascii="Tahoma" w:hAnsi="Tahoma" w:cs="Tahoma"/>
          <w:sz w:val="22"/>
          <w:szCs w:val="22"/>
        </w:rPr>
        <w:t>En el literal a) del numeral 2.10.1.2 del capítulo II Sección Específica “Condiciones Especiales del Proceso de Selección” de las Bases Integradas se estableció que el factor referido al cumplimiento de la prestación, se acredita a través de las copias de certificados o constancias, que demuestren el cumplimiento de la prestación sin que haya incurrido en penalidades, hasta por un máximo de 20 Certificados o Constancias. Asimismo, se señaló que dichos certificados o constancias deben referirse a los contratos que se presentaron para acreditar la experiencia del postor y, en el caso que sea un contrato de suministro, se evaluará los Certificados o Constancias emitido respecto de la parte del contrato ejecutado.</w:t>
      </w:r>
    </w:p>
    <w:p w:rsidR="002E78D8" w:rsidRDefault="002E78D8" w:rsidP="002E78D8">
      <w:pPr>
        <w:ind w:left="567"/>
        <w:jc w:val="both"/>
        <w:rPr>
          <w:rFonts w:ascii="Tahoma" w:hAnsi="Tahoma" w:cs="Tahoma"/>
          <w:sz w:val="22"/>
          <w:szCs w:val="22"/>
        </w:rPr>
      </w:pPr>
    </w:p>
    <w:p w:rsidR="002E78D8" w:rsidRPr="00143015" w:rsidRDefault="002E78D8" w:rsidP="002E78D8">
      <w:pPr>
        <w:numPr>
          <w:ilvl w:val="0"/>
          <w:numId w:val="1"/>
        </w:numPr>
        <w:ind w:left="567" w:hanging="567"/>
        <w:jc w:val="both"/>
        <w:rPr>
          <w:rFonts w:ascii="Tahoma" w:hAnsi="Tahoma" w:cs="Tahoma"/>
          <w:sz w:val="22"/>
          <w:szCs w:val="22"/>
        </w:rPr>
      </w:pPr>
      <w:r w:rsidRPr="00F80B9C">
        <w:rPr>
          <w:rFonts w:ascii="Tahoma" w:hAnsi="Tahoma" w:cs="Tahoma"/>
          <w:sz w:val="22"/>
          <w:szCs w:val="22"/>
        </w:rPr>
        <w:t xml:space="preserve">Ahora bien, tal como se señalo anteriormente, el Impugnante cumplió con presentar la CONSTANCIA DE PRESTACIÓN de fecha 26 de octubre del 2010, emitida por la empresa Laboratorios Hersil S.A., </w:t>
      </w:r>
      <w:r>
        <w:rPr>
          <w:rFonts w:ascii="Tahoma" w:hAnsi="Tahoma" w:cs="Tahoma"/>
          <w:sz w:val="22"/>
          <w:szCs w:val="22"/>
        </w:rPr>
        <w:t xml:space="preserve">la misma que obra a fojas 720 de su propuesta técnica, </w:t>
      </w:r>
      <w:r w:rsidRPr="00F80B9C">
        <w:rPr>
          <w:rFonts w:ascii="Tahoma" w:hAnsi="Tahoma" w:cs="Tahoma"/>
          <w:sz w:val="22"/>
          <w:szCs w:val="22"/>
        </w:rPr>
        <w:t xml:space="preserve">en el cual </w:t>
      </w:r>
      <w:r>
        <w:rPr>
          <w:rFonts w:ascii="Tahoma" w:hAnsi="Tahoma" w:cs="Tahoma"/>
          <w:sz w:val="22"/>
          <w:szCs w:val="22"/>
        </w:rPr>
        <w:t xml:space="preserve">expresamente se consignó que </w:t>
      </w:r>
      <w:r w:rsidRPr="00F80B9C">
        <w:rPr>
          <w:rFonts w:ascii="Tahoma" w:hAnsi="Tahoma" w:cs="Tahoma"/>
          <w:i/>
          <w:sz w:val="22"/>
          <w:szCs w:val="22"/>
        </w:rPr>
        <w:t>“Se expide la presente constancia a solicitud de la parte interesada de acuerdo al Artículo 178 del D.S. 184-2008-EF, No habiendo incurrido en penalidad alguna”.</w:t>
      </w:r>
    </w:p>
    <w:p w:rsidR="002E78D8" w:rsidRPr="00143015" w:rsidRDefault="002E78D8" w:rsidP="002E78D8">
      <w:pPr>
        <w:rPr>
          <w:rFonts w:ascii="Tahoma" w:hAnsi="Tahoma" w:cs="Tahoma"/>
          <w:sz w:val="22"/>
          <w:szCs w:val="22"/>
        </w:rPr>
      </w:pPr>
    </w:p>
    <w:p w:rsidR="002E78D8" w:rsidRPr="00F80B9C" w:rsidRDefault="002E78D8" w:rsidP="002E78D8">
      <w:pPr>
        <w:ind w:left="567"/>
        <w:jc w:val="both"/>
        <w:rPr>
          <w:rFonts w:ascii="Tahoma" w:hAnsi="Tahoma" w:cs="Tahoma"/>
          <w:sz w:val="22"/>
          <w:szCs w:val="22"/>
        </w:rPr>
      </w:pPr>
      <w:r>
        <w:rPr>
          <w:rFonts w:ascii="Tahoma" w:hAnsi="Tahoma" w:cs="Tahoma"/>
          <w:sz w:val="22"/>
          <w:szCs w:val="22"/>
        </w:rPr>
        <w:t>En tal sentido, a través de dicha constancia, el Impugnante también acredita el cumplimiento de la prestación sin que haya incurrido en penalidades, toda vez que se refiere al contrato que presentó para acreditar su experiencia como postor, por lo cual se deberá otorgar el puntaje que le corresponde, según lo establecido en las Bases Integradas.</w:t>
      </w:r>
    </w:p>
    <w:p w:rsidR="002E78D8" w:rsidRDefault="002E78D8" w:rsidP="002E78D8">
      <w:pPr>
        <w:ind w:left="567"/>
        <w:jc w:val="both"/>
        <w:rPr>
          <w:rFonts w:ascii="Tahoma" w:hAnsi="Tahoma" w:cs="Tahoma"/>
          <w:sz w:val="22"/>
          <w:szCs w:val="22"/>
        </w:rPr>
      </w:pPr>
    </w:p>
    <w:p w:rsidR="002E78D8" w:rsidRDefault="002E78D8" w:rsidP="002E78D8">
      <w:pPr>
        <w:numPr>
          <w:ilvl w:val="0"/>
          <w:numId w:val="1"/>
        </w:numPr>
        <w:ind w:left="567" w:hanging="567"/>
        <w:jc w:val="both"/>
        <w:rPr>
          <w:rFonts w:ascii="Tahoma" w:hAnsi="Tahoma" w:cs="Tahoma"/>
          <w:sz w:val="22"/>
          <w:szCs w:val="22"/>
        </w:rPr>
      </w:pPr>
      <w:r>
        <w:rPr>
          <w:rFonts w:ascii="Tahoma" w:hAnsi="Tahoma" w:cs="Tahoma"/>
          <w:sz w:val="22"/>
          <w:szCs w:val="22"/>
        </w:rPr>
        <w:t xml:space="preserve">Al respecto, </w:t>
      </w:r>
      <w:r w:rsidRPr="00143015">
        <w:rPr>
          <w:rFonts w:ascii="Tahoma" w:hAnsi="Tahoma" w:cs="Tahoma"/>
          <w:sz w:val="22"/>
          <w:szCs w:val="22"/>
        </w:rPr>
        <w:t xml:space="preserve">en el </w:t>
      </w:r>
      <w:r>
        <w:rPr>
          <w:rFonts w:ascii="Tahoma" w:hAnsi="Tahoma" w:cs="Tahoma"/>
          <w:sz w:val="22"/>
          <w:szCs w:val="22"/>
        </w:rPr>
        <w:t>numeral 5.2</w:t>
      </w:r>
      <w:r w:rsidRPr="00143015">
        <w:rPr>
          <w:rFonts w:ascii="Tahoma" w:hAnsi="Tahoma" w:cs="Tahoma"/>
          <w:sz w:val="22"/>
          <w:szCs w:val="22"/>
        </w:rPr>
        <w:t xml:space="preserve"> del Capítulo V – Criterios de Evaluación de las Ba</w:t>
      </w:r>
      <w:r>
        <w:rPr>
          <w:rFonts w:ascii="Tahoma" w:hAnsi="Tahoma" w:cs="Tahoma"/>
          <w:sz w:val="22"/>
          <w:szCs w:val="22"/>
        </w:rPr>
        <w:t>ses Integradas, se describe</w:t>
      </w:r>
      <w:r w:rsidRPr="00143015">
        <w:rPr>
          <w:rFonts w:ascii="Tahoma" w:hAnsi="Tahoma" w:cs="Tahoma"/>
          <w:sz w:val="22"/>
          <w:szCs w:val="22"/>
        </w:rPr>
        <w:t xml:space="preserve"> </w:t>
      </w:r>
      <w:r>
        <w:rPr>
          <w:rFonts w:ascii="Tahoma" w:hAnsi="Tahoma" w:cs="Tahoma"/>
          <w:sz w:val="22"/>
          <w:szCs w:val="22"/>
        </w:rPr>
        <w:t xml:space="preserve">la metodología para asignar el puntaje que corresponde </w:t>
      </w:r>
      <w:r w:rsidRPr="00143015">
        <w:rPr>
          <w:rFonts w:ascii="Tahoma" w:hAnsi="Tahoma" w:cs="Tahoma"/>
          <w:sz w:val="22"/>
          <w:szCs w:val="22"/>
        </w:rPr>
        <w:t>respecto al factor de evaluaci</w:t>
      </w:r>
      <w:r>
        <w:rPr>
          <w:rFonts w:ascii="Tahoma" w:hAnsi="Tahoma" w:cs="Tahoma"/>
          <w:sz w:val="22"/>
          <w:szCs w:val="22"/>
        </w:rPr>
        <w:t>ón cumplimiento de la prestación, en el cual se ha establecido como puntaje máximo 20, el mismo que se obtiene bajo la siguiente formula.</w:t>
      </w:r>
    </w:p>
    <w:p w:rsidR="002E78D8" w:rsidRPr="000F2290" w:rsidRDefault="002E78D8" w:rsidP="002E78D8">
      <w:pPr>
        <w:jc w:val="both"/>
        <w:rPr>
          <w:rFonts w:ascii="Tahoma" w:hAnsi="Tahoma" w:cs="Tahoma"/>
          <w:sz w:val="18"/>
          <w:szCs w:val="18"/>
        </w:rPr>
      </w:pPr>
    </w:p>
    <w:p w:rsidR="002E78D8" w:rsidRPr="000F2290" w:rsidRDefault="002E78D8" w:rsidP="002E78D8">
      <w:pPr>
        <w:ind w:left="578"/>
        <w:jc w:val="both"/>
        <w:rPr>
          <w:rFonts w:ascii="Tahoma" w:hAnsi="Tahoma" w:cs="Tahoma"/>
          <w:b/>
          <w:bCs/>
          <w:sz w:val="18"/>
          <w:szCs w:val="18"/>
        </w:rPr>
      </w:pPr>
      <w:r w:rsidRPr="000F2290">
        <w:rPr>
          <w:rFonts w:ascii="Tahoma" w:hAnsi="Tahoma" w:cs="Tahoma"/>
          <w:b/>
          <w:bCs/>
          <w:sz w:val="18"/>
          <w:szCs w:val="18"/>
        </w:rPr>
        <w:t>P</w:t>
      </w:r>
      <w:r w:rsidRPr="000F2290">
        <w:rPr>
          <w:rFonts w:ascii="Tahoma" w:hAnsi="Tahoma" w:cs="Tahoma"/>
          <w:b/>
          <w:bCs/>
          <w:sz w:val="18"/>
          <w:szCs w:val="18"/>
          <w:vertAlign w:val="subscript"/>
        </w:rPr>
        <w:t>CP</w:t>
      </w:r>
      <w:r w:rsidRPr="000F2290">
        <w:rPr>
          <w:rFonts w:ascii="Tahoma" w:hAnsi="Tahoma" w:cs="Tahoma"/>
          <w:b/>
          <w:bCs/>
          <w:sz w:val="18"/>
          <w:szCs w:val="18"/>
        </w:rPr>
        <w:t>= {(PF/NC) X (CBC)}</w:t>
      </w:r>
    </w:p>
    <w:p w:rsidR="002E78D8" w:rsidRPr="000F2290" w:rsidRDefault="002E78D8" w:rsidP="002E78D8">
      <w:pPr>
        <w:ind w:left="578"/>
        <w:jc w:val="both"/>
        <w:rPr>
          <w:rFonts w:ascii="Tahoma" w:hAnsi="Tahoma" w:cs="Tahoma"/>
          <w:sz w:val="18"/>
          <w:szCs w:val="18"/>
        </w:rPr>
      </w:pPr>
    </w:p>
    <w:p w:rsidR="002E78D8" w:rsidRPr="000F2290" w:rsidRDefault="002E78D8" w:rsidP="002E78D8">
      <w:pPr>
        <w:ind w:left="578"/>
        <w:jc w:val="both"/>
        <w:rPr>
          <w:rFonts w:ascii="Tahoma" w:hAnsi="Tahoma" w:cs="Tahoma"/>
          <w:sz w:val="18"/>
          <w:szCs w:val="18"/>
        </w:rPr>
      </w:pPr>
      <w:r w:rsidRPr="000F2290">
        <w:rPr>
          <w:rFonts w:ascii="Tahoma" w:hAnsi="Tahoma" w:cs="Tahoma"/>
          <w:sz w:val="18"/>
          <w:szCs w:val="18"/>
        </w:rPr>
        <w:t xml:space="preserve">Donde: </w:t>
      </w:r>
    </w:p>
    <w:tbl>
      <w:tblPr>
        <w:tblW w:w="8242" w:type="dxa"/>
        <w:tblInd w:w="578" w:type="dxa"/>
        <w:tblCellMar>
          <w:left w:w="0" w:type="dxa"/>
          <w:right w:w="0" w:type="dxa"/>
        </w:tblCellMar>
        <w:tblLook w:val="0000"/>
      </w:tblPr>
      <w:tblGrid>
        <w:gridCol w:w="825"/>
        <w:gridCol w:w="393"/>
        <w:gridCol w:w="7024"/>
      </w:tblGrid>
      <w:tr w:rsidR="002E78D8" w:rsidRPr="000F2290" w:rsidTr="007234C9">
        <w:trPr>
          <w:trHeight w:val="283"/>
        </w:trPr>
        <w:tc>
          <w:tcPr>
            <w:tcW w:w="825" w:type="dxa"/>
            <w:noWrap/>
            <w:tcMar>
              <w:top w:w="0" w:type="dxa"/>
              <w:left w:w="70" w:type="dxa"/>
              <w:bottom w:w="0" w:type="dxa"/>
              <w:right w:w="70" w:type="dxa"/>
            </w:tcMar>
            <w:vAlign w:val="bottom"/>
          </w:tcPr>
          <w:p w:rsidR="002E78D8" w:rsidRPr="000F2290" w:rsidRDefault="002E78D8" w:rsidP="007234C9">
            <w:pPr>
              <w:jc w:val="both"/>
              <w:rPr>
                <w:rFonts w:ascii="Tahoma" w:hAnsi="Tahoma" w:cs="Tahoma"/>
                <w:sz w:val="18"/>
                <w:szCs w:val="18"/>
              </w:rPr>
            </w:pPr>
            <w:r w:rsidRPr="000F2290">
              <w:rPr>
                <w:rFonts w:ascii="Tahoma" w:hAnsi="Tahoma" w:cs="Tahoma"/>
                <w:sz w:val="18"/>
                <w:szCs w:val="18"/>
              </w:rPr>
              <w:t>PCP</w:t>
            </w:r>
          </w:p>
        </w:tc>
        <w:tc>
          <w:tcPr>
            <w:tcW w:w="393" w:type="dxa"/>
            <w:noWrap/>
            <w:tcMar>
              <w:top w:w="0" w:type="dxa"/>
              <w:left w:w="70" w:type="dxa"/>
              <w:bottom w:w="0" w:type="dxa"/>
              <w:right w:w="70" w:type="dxa"/>
            </w:tcMar>
            <w:vAlign w:val="bottom"/>
          </w:tcPr>
          <w:p w:rsidR="002E78D8" w:rsidRPr="000F2290" w:rsidRDefault="002E78D8" w:rsidP="007234C9">
            <w:pPr>
              <w:jc w:val="both"/>
              <w:rPr>
                <w:rFonts w:ascii="Tahoma" w:hAnsi="Tahoma" w:cs="Tahoma"/>
                <w:sz w:val="18"/>
                <w:szCs w:val="18"/>
              </w:rPr>
            </w:pPr>
            <w:r w:rsidRPr="000F2290">
              <w:rPr>
                <w:rFonts w:ascii="Tahoma" w:hAnsi="Tahoma" w:cs="Tahoma"/>
                <w:sz w:val="18"/>
                <w:szCs w:val="18"/>
              </w:rPr>
              <w:t>=</w:t>
            </w:r>
          </w:p>
        </w:tc>
        <w:tc>
          <w:tcPr>
            <w:tcW w:w="7024" w:type="dxa"/>
            <w:noWrap/>
            <w:tcMar>
              <w:top w:w="0" w:type="dxa"/>
              <w:left w:w="70" w:type="dxa"/>
              <w:bottom w:w="0" w:type="dxa"/>
              <w:right w:w="70" w:type="dxa"/>
            </w:tcMar>
            <w:vAlign w:val="bottom"/>
          </w:tcPr>
          <w:p w:rsidR="002E78D8" w:rsidRPr="000F2290" w:rsidRDefault="002E78D8" w:rsidP="007234C9">
            <w:pPr>
              <w:jc w:val="both"/>
              <w:rPr>
                <w:rFonts w:ascii="Tahoma" w:hAnsi="Tahoma" w:cs="Tahoma"/>
                <w:sz w:val="18"/>
                <w:szCs w:val="18"/>
              </w:rPr>
            </w:pPr>
            <w:r w:rsidRPr="000F2290">
              <w:rPr>
                <w:rFonts w:ascii="Tahoma" w:hAnsi="Tahoma" w:cs="Tahoma"/>
                <w:sz w:val="18"/>
                <w:szCs w:val="18"/>
              </w:rPr>
              <w:t xml:space="preserve">Puntaje a otorgarse al postor </w:t>
            </w:r>
          </w:p>
        </w:tc>
      </w:tr>
      <w:tr w:rsidR="002E78D8" w:rsidRPr="000F2290" w:rsidTr="007234C9">
        <w:trPr>
          <w:trHeight w:val="284"/>
        </w:trPr>
        <w:tc>
          <w:tcPr>
            <w:tcW w:w="825" w:type="dxa"/>
            <w:noWrap/>
            <w:tcMar>
              <w:top w:w="0" w:type="dxa"/>
              <w:left w:w="70" w:type="dxa"/>
              <w:bottom w:w="0" w:type="dxa"/>
              <w:right w:w="70" w:type="dxa"/>
            </w:tcMar>
            <w:vAlign w:val="bottom"/>
          </w:tcPr>
          <w:p w:rsidR="002E78D8" w:rsidRPr="000F2290" w:rsidRDefault="002E78D8" w:rsidP="007234C9">
            <w:pPr>
              <w:jc w:val="both"/>
              <w:rPr>
                <w:rFonts w:ascii="Tahoma" w:hAnsi="Tahoma" w:cs="Tahoma"/>
                <w:sz w:val="18"/>
                <w:szCs w:val="18"/>
              </w:rPr>
            </w:pPr>
            <w:r w:rsidRPr="000F2290">
              <w:rPr>
                <w:rFonts w:ascii="Tahoma" w:hAnsi="Tahoma" w:cs="Tahoma"/>
                <w:sz w:val="18"/>
                <w:szCs w:val="18"/>
              </w:rPr>
              <w:t>PF</w:t>
            </w:r>
          </w:p>
        </w:tc>
        <w:tc>
          <w:tcPr>
            <w:tcW w:w="393" w:type="dxa"/>
            <w:noWrap/>
            <w:tcMar>
              <w:top w:w="0" w:type="dxa"/>
              <w:left w:w="70" w:type="dxa"/>
              <w:bottom w:w="0" w:type="dxa"/>
              <w:right w:w="70" w:type="dxa"/>
            </w:tcMar>
            <w:vAlign w:val="bottom"/>
          </w:tcPr>
          <w:p w:rsidR="002E78D8" w:rsidRPr="000F2290" w:rsidRDefault="002E78D8" w:rsidP="007234C9">
            <w:pPr>
              <w:jc w:val="both"/>
              <w:rPr>
                <w:rFonts w:ascii="Tahoma" w:hAnsi="Tahoma" w:cs="Tahoma"/>
                <w:sz w:val="18"/>
                <w:szCs w:val="18"/>
              </w:rPr>
            </w:pPr>
            <w:r w:rsidRPr="000F2290">
              <w:rPr>
                <w:rFonts w:ascii="Tahoma" w:hAnsi="Tahoma" w:cs="Tahoma"/>
                <w:sz w:val="18"/>
                <w:szCs w:val="18"/>
              </w:rPr>
              <w:t>=</w:t>
            </w:r>
          </w:p>
        </w:tc>
        <w:tc>
          <w:tcPr>
            <w:tcW w:w="7024" w:type="dxa"/>
            <w:noWrap/>
            <w:tcMar>
              <w:top w:w="0" w:type="dxa"/>
              <w:left w:w="70" w:type="dxa"/>
              <w:bottom w:w="0" w:type="dxa"/>
              <w:right w:w="70" w:type="dxa"/>
            </w:tcMar>
            <w:vAlign w:val="bottom"/>
          </w:tcPr>
          <w:p w:rsidR="002E78D8" w:rsidRPr="000F2290" w:rsidRDefault="002E78D8" w:rsidP="007234C9">
            <w:pPr>
              <w:jc w:val="both"/>
              <w:rPr>
                <w:rFonts w:ascii="Tahoma" w:hAnsi="Tahoma" w:cs="Tahoma"/>
                <w:sz w:val="18"/>
                <w:szCs w:val="18"/>
              </w:rPr>
            </w:pPr>
            <w:r w:rsidRPr="000F2290">
              <w:rPr>
                <w:rFonts w:ascii="Tahoma" w:hAnsi="Tahoma" w:cs="Tahoma"/>
                <w:sz w:val="18"/>
                <w:szCs w:val="18"/>
              </w:rPr>
              <w:t xml:space="preserve">Puntaje máximo del Factor </w:t>
            </w:r>
          </w:p>
        </w:tc>
      </w:tr>
      <w:tr w:rsidR="002E78D8" w:rsidRPr="000F2290" w:rsidTr="007234C9">
        <w:trPr>
          <w:trHeight w:val="253"/>
        </w:trPr>
        <w:tc>
          <w:tcPr>
            <w:tcW w:w="825" w:type="dxa"/>
            <w:noWrap/>
            <w:tcMar>
              <w:top w:w="0" w:type="dxa"/>
              <w:left w:w="70" w:type="dxa"/>
              <w:bottom w:w="0" w:type="dxa"/>
              <w:right w:w="70" w:type="dxa"/>
            </w:tcMar>
            <w:vAlign w:val="center"/>
          </w:tcPr>
          <w:p w:rsidR="002E78D8" w:rsidRPr="000F2290" w:rsidRDefault="002E78D8" w:rsidP="007234C9">
            <w:pPr>
              <w:jc w:val="both"/>
              <w:rPr>
                <w:rFonts w:ascii="Tahoma" w:hAnsi="Tahoma" w:cs="Tahoma"/>
                <w:sz w:val="18"/>
                <w:szCs w:val="18"/>
              </w:rPr>
            </w:pPr>
            <w:r w:rsidRPr="000F2290">
              <w:rPr>
                <w:rFonts w:ascii="Tahoma" w:hAnsi="Tahoma" w:cs="Tahoma"/>
                <w:sz w:val="18"/>
                <w:szCs w:val="18"/>
              </w:rPr>
              <w:t>NC</w:t>
            </w:r>
          </w:p>
        </w:tc>
        <w:tc>
          <w:tcPr>
            <w:tcW w:w="393" w:type="dxa"/>
            <w:noWrap/>
            <w:tcMar>
              <w:top w:w="0" w:type="dxa"/>
              <w:left w:w="70" w:type="dxa"/>
              <w:bottom w:w="0" w:type="dxa"/>
              <w:right w:w="70" w:type="dxa"/>
            </w:tcMar>
            <w:vAlign w:val="center"/>
          </w:tcPr>
          <w:p w:rsidR="002E78D8" w:rsidRPr="000F2290" w:rsidRDefault="002E78D8" w:rsidP="007234C9">
            <w:pPr>
              <w:jc w:val="both"/>
              <w:rPr>
                <w:rFonts w:ascii="Tahoma" w:hAnsi="Tahoma" w:cs="Tahoma"/>
                <w:sz w:val="18"/>
                <w:szCs w:val="18"/>
              </w:rPr>
            </w:pPr>
            <w:r w:rsidRPr="000F2290">
              <w:rPr>
                <w:rFonts w:ascii="Tahoma" w:hAnsi="Tahoma" w:cs="Tahoma"/>
                <w:sz w:val="18"/>
                <w:szCs w:val="18"/>
              </w:rPr>
              <w:t>=</w:t>
            </w:r>
          </w:p>
        </w:tc>
        <w:tc>
          <w:tcPr>
            <w:tcW w:w="7024" w:type="dxa"/>
            <w:noWrap/>
            <w:tcMar>
              <w:top w:w="0" w:type="dxa"/>
              <w:left w:w="70" w:type="dxa"/>
              <w:bottom w:w="0" w:type="dxa"/>
              <w:right w:w="70" w:type="dxa"/>
            </w:tcMar>
            <w:vAlign w:val="bottom"/>
          </w:tcPr>
          <w:p w:rsidR="002E78D8" w:rsidRPr="000F2290" w:rsidRDefault="002E78D8" w:rsidP="007234C9">
            <w:pPr>
              <w:jc w:val="both"/>
              <w:rPr>
                <w:rFonts w:ascii="Tahoma" w:hAnsi="Tahoma" w:cs="Tahoma"/>
                <w:sz w:val="18"/>
                <w:szCs w:val="18"/>
              </w:rPr>
            </w:pPr>
            <w:r w:rsidRPr="000F2290">
              <w:rPr>
                <w:rFonts w:ascii="Tahoma" w:hAnsi="Tahoma" w:cs="Tahoma"/>
                <w:sz w:val="18"/>
                <w:szCs w:val="18"/>
              </w:rPr>
              <w:t>Número de contrataciones presentadas para acreditar la experiencia del postor (20 contrataciones como máximo)</w:t>
            </w:r>
          </w:p>
        </w:tc>
      </w:tr>
      <w:tr w:rsidR="002E78D8" w:rsidRPr="000F2290" w:rsidTr="007234C9">
        <w:trPr>
          <w:trHeight w:val="253"/>
        </w:trPr>
        <w:tc>
          <w:tcPr>
            <w:tcW w:w="825" w:type="dxa"/>
            <w:noWrap/>
            <w:tcMar>
              <w:top w:w="0" w:type="dxa"/>
              <w:left w:w="70" w:type="dxa"/>
              <w:bottom w:w="0" w:type="dxa"/>
              <w:right w:w="70" w:type="dxa"/>
            </w:tcMar>
            <w:vAlign w:val="center"/>
          </w:tcPr>
          <w:p w:rsidR="002E78D8" w:rsidRPr="000F2290" w:rsidRDefault="002E78D8" w:rsidP="007234C9">
            <w:pPr>
              <w:jc w:val="both"/>
              <w:rPr>
                <w:rFonts w:ascii="Tahoma" w:hAnsi="Tahoma" w:cs="Tahoma"/>
                <w:sz w:val="18"/>
                <w:szCs w:val="18"/>
              </w:rPr>
            </w:pPr>
            <w:r w:rsidRPr="000F2290">
              <w:rPr>
                <w:rFonts w:ascii="Tahoma" w:hAnsi="Tahoma" w:cs="Tahoma"/>
                <w:sz w:val="18"/>
                <w:szCs w:val="18"/>
              </w:rPr>
              <w:t>CBC</w:t>
            </w:r>
          </w:p>
        </w:tc>
        <w:tc>
          <w:tcPr>
            <w:tcW w:w="393" w:type="dxa"/>
            <w:noWrap/>
            <w:tcMar>
              <w:top w:w="0" w:type="dxa"/>
              <w:left w:w="70" w:type="dxa"/>
              <w:bottom w:w="0" w:type="dxa"/>
              <w:right w:w="70" w:type="dxa"/>
            </w:tcMar>
            <w:vAlign w:val="center"/>
          </w:tcPr>
          <w:p w:rsidR="002E78D8" w:rsidRPr="000F2290" w:rsidRDefault="002E78D8" w:rsidP="007234C9">
            <w:pPr>
              <w:jc w:val="both"/>
              <w:rPr>
                <w:rFonts w:ascii="Tahoma" w:hAnsi="Tahoma" w:cs="Tahoma"/>
                <w:sz w:val="18"/>
                <w:szCs w:val="18"/>
              </w:rPr>
            </w:pPr>
            <w:r w:rsidRPr="000F2290">
              <w:rPr>
                <w:rFonts w:ascii="Tahoma" w:hAnsi="Tahoma" w:cs="Tahoma"/>
                <w:sz w:val="18"/>
                <w:szCs w:val="18"/>
              </w:rPr>
              <w:t>=</w:t>
            </w:r>
          </w:p>
        </w:tc>
        <w:tc>
          <w:tcPr>
            <w:tcW w:w="7024" w:type="dxa"/>
            <w:noWrap/>
            <w:tcMar>
              <w:top w:w="0" w:type="dxa"/>
              <w:left w:w="70" w:type="dxa"/>
              <w:bottom w:w="0" w:type="dxa"/>
              <w:right w:w="70" w:type="dxa"/>
            </w:tcMar>
            <w:vAlign w:val="bottom"/>
          </w:tcPr>
          <w:p w:rsidR="002E78D8" w:rsidRPr="000F2290" w:rsidRDefault="002E78D8" w:rsidP="007234C9">
            <w:pPr>
              <w:jc w:val="both"/>
              <w:rPr>
                <w:rFonts w:ascii="Tahoma" w:hAnsi="Tahoma" w:cs="Tahoma"/>
                <w:sz w:val="18"/>
                <w:szCs w:val="18"/>
              </w:rPr>
            </w:pPr>
            <w:r w:rsidRPr="000F2290">
              <w:rPr>
                <w:rFonts w:ascii="Tahoma" w:hAnsi="Tahoma" w:cs="Tahoma"/>
                <w:sz w:val="18"/>
                <w:szCs w:val="18"/>
              </w:rPr>
              <w:t xml:space="preserve">Número de constancias de buen cumplimento de la prestación </w:t>
            </w:r>
            <w:r w:rsidRPr="000F2290">
              <w:rPr>
                <w:rFonts w:ascii="Tahoma" w:hAnsi="Tahoma" w:cs="Tahoma"/>
                <w:sz w:val="18"/>
                <w:szCs w:val="18"/>
              </w:rPr>
              <w:br/>
              <w:t>(20 contrataciones como máximo)</w:t>
            </w:r>
          </w:p>
        </w:tc>
      </w:tr>
    </w:tbl>
    <w:p w:rsidR="002E78D8" w:rsidRDefault="002E78D8" w:rsidP="002E78D8">
      <w:pPr>
        <w:ind w:left="567"/>
        <w:jc w:val="both"/>
        <w:rPr>
          <w:rFonts w:ascii="Tahoma" w:hAnsi="Tahoma" w:cs="Tahoma"/>
          <w:sz w:val="22"/>
          <w:szCs w:val="22"/>
        </w:rPr>
      </w:pPr>
    </w:p>
    <w:p w:rsidR="002E78D8" w:rsidRDefault="002E78D8" w:rsidP="002E78D8">
      <w:pPr>
        <w:numPr>
          <w:ilvl w:val="0"/>
          <w:numId w:val="1"/>
        </w:numPr>
        <w:ind w:left="567" w:hanging="567"/>
        <w:jc w:val="both"/>
        <w:rPr>
          <w:rFonts w:ascii="Tahoma" w:hAnsi="Tahoma" w:cs="Tahoma"/>
          <w:sz w:val="22"/>
          <w:szCs w:val="22"/>
        </w:rPr>
      </w:pPr>
      <w:r>
        <w:rPr>
          <w:rFonts w:ascii="Tahoma" w:hAnsi="Tahoma" w:cs="Tahoma"/>
          <w:sz w:val="22"/>
          <w:szCs w:val="22"/>
        </w:rPr>
        <w:lastRenderedPageBreak/>
        <w:t>En aplicación a dicha fórmula</w:t>
      </w:r>
      <w:r>
        <w:rPr>
          <w:rStyle w:val="Refdenotaalpie"/>
          <w:rFonts w:ascii="Tahoma" w:hAnsi="Tahoma"/>
          <w:sz w:val="22"/>
          <w:szCs w:val="22"/>
        </w:rPr>
        <w:footnoteReference w:id="5"/>
      </w:r>
      <w:r>
        <w:rPr>
          <w:rFonts w:ascii="Tahoma" w:hAnsi="Tahoma" w:cs="Tahoma"/>
          <w:sz w:val="22"/>
          <w:szCs w:val="22"/>
        </w:rPr>
        <w:t xml:space="preserve">, corresponde asignar al Impugnante el puntaje máximo, es decir 20 puntos. </w:t>
      </w:r>
    </w:p>
    <w:p w:rsidR="002E78D8" w:rsidRDefault="002E78D8" w:rsidP="002E78D8">
      <w:pPr>
        <w:ind w:left="567"/>
        <w:jc w:val="both"/>
        <w:rPr>
          <w:rFonts w:ascii="Tahoma" w:hAnsi="Tahoma" w:cs="Tahoma"/>
          <w:sz w:val="22"/>
          <w:szCs w:val="22"/>
        </w:rPr>
      </w:pPr>
    </w:p>
    <w:p w:rsidR="002E78D8" w:rsidRDefault="002E78D8" w:rsidP="002E78D8">
      <w:pPr>
        <w:numPr>
          <w:ilvl w:val="0"/>
          <w:numId w:val="1"/>
        </w:numPr>
        <w:ind w:left="567" w:hanging="567"/>
        <w:jc w:val="both"/>
        <w:rPr>
          <w:rFonts w:ascii="Tahoma" w:hAnsi="Tahoma" w:cs="Tahoma"/>
          <w:sz w:val="22"/>
          <w:szCs w:val="22"/>
        </w:rPr>
      </w:pPr>
      <w:r>
        <w:rPr>
          <w:rFonts w:ascii="Tahoma" w:hAnsi="Tahoma" w:cs="Tahoma"/>
          <w:sz w:val="22"/>
          <w:szCs w:val="22"/>
        </w:rPr>
        <w:t>Por lo tanto, al verificarse que el Impugnante obtuvo el máximo puntaje tanto en el factor de evaluación Experiencia del Postor como en el Cumplimiento de la Prestación, el cuadro de evaluación técnica queda modificado de la siguiente manera:</w:t>
      </w:r>
    </w:p>
    <w:p w:rsidR="002E78D8" w:rsidRDefault="002E78D8" w:rsidP="002E78D8">
      <w:pPr>
        <w:ind w:left="567"/>
        <w:jc w:val="both"/>
        <w:rPr>
          <w:rFonts w:ascii="Tahoma" w:hAnsi="Tahoma" w:cs="Tahoma"/>
          <w:sz w:val="22"/>
          <w:szCs w:val="22"/>
        </w:rPr>
      </w:pPr>
    </w:p>
    <w:p w:rsidR="002E78D8" w:rsidRPr="002A5763" w:rsidRDefault="002E78D8" w:rsidP="002E78D8">
      <w:pPr>
        <w:autoSpaceDE w:val="0"/>
        <w:autoSpaceDN w:val="0"/>
        <w:adjustRightInd w:val="0"/>
        <w:ind w:left="567"/>
        <w:jc w:val="both"/>
        <w:rPr>
          <w:rFonts w:ascii="Tahoma" w:hAnsi="Tahoma" w:cs="Tahoma"/>
          <w:b/>
          <w:i/>
          <w:sz w:val="16"/>
          <w:szCs w:val="16"/>
          <w:u w:val="single"/>
        </w:rPr>
      </w:pPr>
      <w:r w:rsidRPr="002A5763">
        <w:rPr>
          <w:rFonts w:ascii="Tahoma" w:hAnsi="Tahoma" w:cs="Tahoma"/>
          <w:b/>
          <w:i/>
          <w:sz w:val="16"/>
          <w:szCs w:val="16"/>
          <w:u w:val="single"/>
        </w:rPr>
        <w:t>EVALUACIÓN TÉCNICA:</w:t>
      </w:r>
    </w:p>
    <w:p w:rsidR="002E78D8" w:rsidRPr="00E7580A" w:rsidRDefault="002E78D8" w:rsidP="002E78D8">
      <w:pPr>
        <w:autoSpaceDE w:val="0"/>
        <w:autoSpaceDN w:val="0"/>
        <w:adjustRightInd w:val="0"/>
        <w:ind w:left="567"/>
        <w:jc w:val="both"/>
        <w:rPr>
          <w:rFonts w:ascii="Tahoma" w:hAnsi="Tahoma" w:cs="Tahoma"/>
          <w:sz w:val="22"/>
          <w:szCs w:val="22"/>
          <w:u w:val="single"/>
        </w:rPr>
      </w:pPr>
    </w:p>
    <w:tbl>
      <w:tblPr>
        <w:tblW w:w="7938"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5"/>
        <w:gridCol w:w="1418"/>
        <w:gridCol w:w="1276"/>
        <w:gridCol w:w="1417"/>
        <w:gridCol w:w="993"/>
        <w:gridCol w:w="992"/>
        <w:gridCol w:w="1417"/>
      </w:tblGrid>
      <w:tr w:rsidR="002E78D8" w:rsidRPr="002C780E" w:rsidTr="007234C9">
        <w:tc>
          <w:tcPr>
            <w:tcW w:w="425" w:type="dxa"/>
            <w:vMerge w:val="restart"/>
          </w:tcPr>
          <w:p w:rsidR="002E78D8" w:rsidRPr="002C780E" w:rsidRDefault="002E78D8" w:rsidP="007234C9">
            <w:pPr>
              <w:autoSpaceDE w:val="0"/>
              <w:autoSpaceDN w:val="0"/>
              <w:adjustRightInd w:val="0"/>
              <w:jc w:val="center"/>
              <w:rPr>
                <w:rFonts w:ascii="Tahoma" w:hAnsi="Tahoma" w:cs="Tahoma"/>
                <w:i/>
                <w:sz w:val="16"/>
                <w:szCs w:val="16"/>
              </w:rPr>
            </w:pPr>
            <w:r w:rsidRPr="002C780E">
              <w:rPr>
                <w:rFonts w:ascii="Tahoma" w:hAnsi="Tahoma" w:cs="Tahoma"/>
                <w:i/>
                <w:sz w:val="16"/>
                <w:szCs w:val="16"/>
              </w:rPr>
              <w:t>Nº</w:t>
            </w:r>
          </w:p>
        </w:tc>
        <w:tc>
          <w:tcPr>
            <w:tcW w:w="1418" w:type="dxa"/>
            <w:vMerge w:val="restart"/>
          </w:tcPr>
          <w:p w:rsidR="002E78D8" w:rsidRPr="002C780E" w:rsidRDefault="002E78D8" w:rsidP="007234C9">
            <w:pPr>
              <w:autoSpaceDE w:val="0"/>
              <w:autoSpaceDN w:val="0"/>
              <w:adjustRightInd w:val="0"/>
              <w:jc w:val="center"/>
              <w:rPr>
                <w:rFonts w:ascii="Tahoma" w:hAnsi="Tahoma" w:cs="Tahoma"/>
                <w:i/>
                <w:sz w:val="16"/>
                <w:szCs w:val="16"/>
              </w:rPr>
            </w:pPr>
            <w:r w:rsidRPr="002C780E">
              <w:rPr>
                <w:rFonts w:ascii="Tahoma" w:hAnsi="Tahoma" w:cs="Tahoma"/>
                <w:i/>
                <w:sz w:val="16"/>
                <w:szCs w:val="16"/>
              </w:rPr>
              <w:t>POSTOR</w:t>
            </w:r>
          </w:p>
        </w:tc>
        <w:tc>
          <w:tcPr>
            <w:tcW w:w="3686" w:type="dxa"/>
            <w:gridSpan w:val="3"/>
          </w:tcPr>
          <w:p w:rsidR="002E78D8" w:rsidRPr="002C780E" w:rsidRDefault="002E78D8" w:rsidP="007234C9">
            <w:pPr>
              <w:autoSpaceDE w:val="0"/>
              <w:autoSpaceDN w:val="0"/>
              <w:adjustRightInd w:val="0"/>
              <w:jc w:val="center"/>
              <w:rPr>
                <w:rFonts w:ascii="Tahoma" w:hAnsi="Tahoma" w:cs="Tahoma"/>
                <w:i/>
                <w:sz w:val="16"/>
                <w:szCs w:val="16"/>
              </w:rPr>
            </w:pPr>
            <w:r w:rsidRPr="002C780E">
              <w:rPr>
                <w:rFonts w:ascii="Tahoma" w:hAnsi="Tahoma" w:cs="Tahoma"/>
                <w:i/>
                <w:sz w:val="16"/>
                <w:szCs w:val="16"/>
              </w:rPr>
              <w:t>FACTORES DE EVALUACIÓN</w:t>
            </w:r>
          </w:p>
        </w:tc>
        <w:tc>
          <w:tcPr>
            <w:tcW w:w="992" w:type="dxa"/>
            <w:vMerge w:val="restart"/>
          </w:tcPr>
          <w:p w:rsidR="002E78D8" w:rsidRPr="002C780E" w:rsidRDefault="002E78D8" w:rsidP="007234C9">
            <w:pPr>
              <w:autoSpaceDE w:val="0"/>
              <w:autoSpaceDN w:val="0"/>
              <w:adjustRightInd w:val="0"/>
              <w:jc w:val="center"/>
              <w:rPr>
                <w:rFonts w:ascii="Tahoma" w:hAnsi="Tahoma" w:cs="Tahoma"/>
                <w:i/>
                <w:sz w:val="16"/>
                <w:szCs w:val="16"/>
              </w:rPr>
            </w:pPr>
            <w:r w:rsidRPr="002C780E">
              <w:rPr>
                <w:rFonts w:ascii="Tahoma" w:hAnsi="Tahoma" w:cs="Tahoma"/>
                <w:i/>
                <w:sz w:val="16"/>
                <w:szCs w:val="16"/>
              </w:rPr>
              <w:t>PUNTAJE OFERTA TÉCNICA</w:t>
            </w:r>
          </w:p>
        </w:tc>
        <w:tc>
          <w:tcPr>
            <w:tcW w:w="1417" w:type="dxa"/>
            <w:vMerge w:val="restart"/>
          </w:tcPr>
          <w:p w:rsidR="002E78D8" w:rsidRPr="002C780E" w:rsidRDefault="002E78D8" w:rsidP="007234C9">
            <w:pPr>
              <w:autoSpaceDE w:val="0"/>
              <w:autoSpaceDN w:val="0"/>
              <w:adjustRightInd w:val="0"/>
              <w:jc w:val="center"/>
              <w:rPr>
                <w:rFonts w:ascii="Tahoma" w:hAnsi="Tahoma" w:cs="Tahoma"/>
                <w:i/>
                <w:sz w:val="16"/>
                <w:szCs w:val="16"/>
              </w:rPr>
            </w:pPr>
            <w:r w:rsidRPr="002C780E">
              <w:rPr>
                <w:rFonts w:ascii="Tahoma" w:hAnsi="Tahoma" w:cs="Tahoma"/>
                <w:i/>
                <w:sz w:val="16"/>
                <w:szCs w:val="16"/>
              </w:rPr>
              <w:t>CONDICION DE LA PROPUESTA</w:t>
            </w:r>
          </w:p>
        </w:tc>
      </w:tr>
      <w:tr w:rsidR="002E78D8" w:rsidRPr="002C780E" w:rsidTr="007234C9">
        <w:tc>
          <w:tcPr>
            <w:tcW w:w="425" w:type="dxa"/>
            <w:vMerge/>
          </w:tcPr>
          <w:p w:rsidR="002E78D8" w:rsidRPr="002C780E" w:rsidRDefault="002E78D8" w:rsidP="007234C9">
            <w:pPr>
              <w:autoSpaceDE w:val="0"/>
              <w:autoSpaceDN w:val="0"/>
              <w:adjustRightInd w:val="0"/>
              <w:jc w:val="center"/>
              <w:rPr>
                <w:rFonts w:ascii="Tahoma" w:hAnsi="Tahoma" w:cs="Tahoma"/>
                <w:i/>
                <w:sz w:val="16"/>
                <w:szCs w:val="16"/>
              </w:rPr>
            </w:pPr>
          </w:p>
        </w:tc>
        <w:tc>
          <w:tcPr>
            <w:tcW w:w="1418" w:type="dxa"/>
            <w:vMerge/>
          </w:tcPr>
          <w:p w:rsidR="002E78D8" w:rsidRPr="002C780E" w:rsidRDefault="002E78D8" w:rsidP="007234C9">
            <w:pPr>
              <w:autoSpaceDE w:val="0"/>
              <w:autoSpaceDN w:val="0"/>
              <w:adjustRightInd w:val="0"/>
              <w:jc w:val="center"/>
              <w:rPr>
                <w:rFonts w:ascii="Tahoma" w:hAnsi="Tahoma" w:cs="Tahoma"/>
                <w:i/>
                <w:sz w:val="16"/>
                <w:szCs w:val="16"/>
              </w:rPr>
            </w:pPr>
          </w:p>
        </w:tc>
        <w:tc>
          <w:tcPr>
            <w:tcW w:w="1276" w:type="dxa"/>
          </w:tcPr>
          <w:p w:rsidR="002E78D8" w:rsidRPr="002C780E" w:rsidRDefault="002E78D8" w:rsidP="007234C9">
            <w:pPr>
              <w:autoSpaceDE w:val="0"/>
              <w:autoSpaceDN w:val="0"/>
              <w:adjustRightInd w:val="0"/>
              <w:jc w:val="center"/>
              <w:rPr>
                <w:rFonts w:ascii="Tahoma" w:hAnsi="Tahoma" w:cs="Tahoma"/>
                <w:i/>
                <w:sz w:val="16"/>
                <w:szCs w:val="16"/>
              </w:rPr>
            </w:pPr>
            <w:r w:rsidRPr="002C780E">
              <w:rPr>
                <w:rFonts w:ascii="Tahoma" w:hAnsi="Tahoma" w:cs="Tahoma"/>
                <w:i/>
                <w:sz w:val="16"/>
                <w:szCs w:val="16"/>
              </w:rPr>
              <w:t>EVALUACIÓN AL POSTOR</w:t>
            </w:r>
          </w:p>
        </w:tc>
        <w:tc>
          <w:tcPr>
            <w:tcW w:w="1417" w:type="dxa"/>
          </w:tcPr>
          <w:p w:rsidR="002E78D8" w:rsidRPr="002C780E" w:rsidRDefault="002E78D8" w:rsidP="007234C9">
            <w:pPr>
              <w:autoSpaceDE w:val="0"/>
              <w:autoSpaceDN w:val="0"/>
              <w:adjustRightInd w:val="0"/>
              <w:jc w:val="center"/>
              <w:rPr>
                <w:rFonts w:ascii="Tahoma" w:hAnsi="Tahoma" w:cs="Tahoma"/>
                <w:i/>
                <w:sz w:val="16"/>
                <w:szCs w:val="16"/>
              </w:rPr>
            </w:pPr>
            <w:r w:rsidRPr="002C780E">
              <w:rPr>
                <w:rFonts w:ascii="Tahoma" w:hAnsi="Tahoma" w:cs="Tahoma"/>
                <w:i/>
                <w:sz w:val="16"/>
                <w:szCs w:val="16"/>
              </w:rPr>
              <w:t>CUMPLIMIENTO DE LA PRESTACIÓN</w:t>
            </w:r>
          </w:p>
        </w:tc>
        <w:tc>
          <w:tcPr>
            <w:tcW w:w="993" w:type="dxa"/>
          </w:tcPr>
          <w:p w:rsidR="002E78D8" w:rsidRPr="002C780E" w:rsidRDefault="002E78D8" w:rsidP="007234C9">
            <w:pPr>
              <w:autoSpaceDE w:val="0"/>
              <w:autoSpaceDN w:val="0"/>
              <w:adjustRightInd w:val="0"/>
              <w:jc w:val="center"/>
              <w:rPr>
                <w:rFonts w:ascii="Tahoma" w:hAnsi="Tahoma" w:cs="Tahoma"/>
                <w:i/>
                <w:sz w:val="16"/>
                <w:szCs w:val="16"/>
              </w:rPr>
            </w:pPr>
            <w:r w:rsidRPr="002C780E">
              <w:rPr>
                <w:rFonts w:ascii="Tahoma" w:hAnsi="Tahoma" w:cs="Tahoma"/>
                <w:i/>
                <w:sz w:val="16"/>
                <w:szCs w:val="16"/>
              </w:rPr>
              <w:t>PLAZO DE ENTREGA</w:t>
            </w:r>
          </w:p>
        </w:tc>
        <w:tc>
          <w:tcPr>
            <w:tcW w:w="992" w:type="dxa"/>
            <w:vMerge/>
          </w:tcPr>
          <w:p w:rsidR="002E78D8" w:rsidRPr="002C780E" w:rsidRDefault="002E78D8" w:rsidP="007234C9">
            <w:pPr>
              <w:autoSpaceDE w:val="0"/>
              <w:autoSpaceDN w:val="0"/>
              <w:adjustRightInd w:val="0"/>
              <w:jc w:val="center"/>
              <w:rPr>
                <w:rFonts w:ascii="Tahoma" w:hAnsi="Tahoma" w:cs="Tahoma"/>
                <w:i/>
                <w:sz w:val="16"/>
                <w:szCs w:val="16"/>
              </w:rPr>
            </w:pPr>
          </w:p>
        </w:tc>
        <w:tc>
          <w:tcPr>
            <w:tcW w:w="1417" w:type="dxa"/>
            <w:vMerge/>
          </w:tcPr>
          <w:p w:rsidR="002E78D8" w:rsidRPr="002C780E" w:rsidRDefault="002E78D8" w:rsidP="007234C9">
            <w:pPr>
              <w:autoSpaceDE w:val="0"/>
              <w:autoSpaceDN w:val="0"/>
              <w:adjustRightInd w:val="0"/>
              <w:jc w:val="center"/>
              <w:rPr>
                <w:rFonts w:ascii="Tahoma" w:hAnsi="Tahoma" w:cs="Tahoma"/>
                <w:i/>
                <w:sz w:val="16"/>
                <w:szCs w:val="16"/>
              </w:rPr>
            </w:pPr>
          </w:p>
        </w:tc>
      </w:tr>
      <w:tr w:rsidR="002E78D8" w:rsidRPr="002C780E" w:rsidTr="007234C9">
        <w:tc>
          <w:tcPr>
            <w:tcW w:w="425" w:type="dxa"/>
          </w:tcPr>
          <w:p w:rsidR="002E78D8" w:rsidRPr="002C780E" w:rsidRDefault="002E78D8" w:rsidP="007234C9">
            <w:pPr>
              <w:autoSpaceDE w:val="0"/>
              <w:autoSpaceDN w:val="0"/>
              <w:adjustRightInd w:val="0"/>
              <w:jc w:val="center"/>
              <w:rPr>
                <w:rFonts w:ascii="Tahoma" w:hAnsi="Tahoma" w:cs="Tahoma"/>
                <w:i/>
                <w:sz w:val="16"/>
                <w:szCs w:val="16"/>
              </w:rPr>
            </w:pPr>
            <w:r w:rsidRPr="002C780E">
              <w:rPr>
                <w:rFonts w:ascii="Tahoma" w:hAnsi="Tahoma" w:cs="Tahoma"/>
                <w:i/>
                <w:sz w:val="16"/>
                <w:szCs w:val="16"/>
              </w:rPr>
              <w:t>1</w:t>
            </w:r>
          </w:p>
        </w:tc>
        <w:tc>
          <w:tcPr>
            <w:tcW w:w="1418" w:type="dxa"/>
          </w:tcPr>
          <w:p w:rsidR="002E78D8" w:rsidRPr="002C780E" w:rsidRDefault="002E78D8" w:rsidP="007234C9">
            <w:pPr>
              <w:autoSpaceDE w:val="0"/>
              <w:autoSpaceDN w:val="0"/>
              <w:adjustRightInd w:val="0"/>
              <w:jc w:val="center"/>
              <w:rPr>
                <w:rFonts w:ascii="Tahoma" w:hAnsi="Tahoma" w:cs="Tahoma"/>
                <w:i/>
                <w:sz w:val="16"/>
                <w:szCs w:val="16"/>
              </w:rPr>
            </w:pPr>
            <w:r w:rsidRPr="002C780E">
              <w:rPr>
                <w:rFonts w:ascii="Tahoma" w:hAnsi="Tahoma" w:cs="Tahoma"/>
                <w:i/>
                <w:sz w:val="16"/>
                <w:szCs w:val="16"/>
              </w:rPr>
              <w:t>LABORATORIOS BAXTER DEL PERU S.A.</w:t>
            </w:r>
          </w:p>
        </w:tc>
        <w:tc>
          <w:tcPr>
            <w:tcW w:w="1276" w:type="dxa"/>
          </w:tcPr>
          <w:p w:rsidR="002E78D8" w:rsidRPr="002C780E" w:rsidRDefault="002E78D8" w:rsidP="007234C9">
            <w:pPr>
              <w:autoSpaceDE w:val="0"/>
              <w:autoSpaceDN w:val="0"/>
              <w:adjustRightInd w:val="0"/>
              <w:jc w:val="center"/>
              <w:rPr>
                <w:rFonts w:ascii="Tahoma" w:hAnsi="Tahoma" w:cs="Tahoma"/>
                <w:i/>
                <w:sz w:val="16"/>
                <w:szCs w:val="16"/>
              </w:rPr>
            </w:pPr>
            <w:r>
              <w:rPr>
                <w:rFonts w:ascii="Tahoma" w:hAnsi="Tahoma" w:cs="Tahoma"/>
                <w:i/>
                <w:sz w:val="16"/>
                <w:szCs w:val="16"/>
              </w:rPr>
              <w:t>40</w:t>
            </w:r>
            <w:r w:rsidRPr="002C780E">
              <w:rPr>
                <w:rFonts w:ascii="Tahoma" w:hAnsi="Tahoma" w:cs="Tahoma"/>
                <w:i/>
                <w:sz w:val="16"/>
                <w:szCs w:val="16"/>
              </w:rPr>
              <w:t>.00</w:t>
            </w:r>
          </w:p>
        </w:tc>
        <w:tc>
          <w:tcPr>
            <w:tcW w:w="1417" w:type="dxa"/>
          </w:tcPr>
          <w:p w:rsidR="002E78D8" w:rsidRPr="002C780E" w:rsidRDefault="002E78D8" w:rsidP="007234C9">
            <w:pPr>
              <w:autoSpaceDE w:val="0"/>
              <w:autoSpaceDN w:val="0"/>
              <w:adjustRightInd w:val="0"/>
              <w:jc w:val="center"/>
              <w:rPr>
                <w:rFonts w:ascii="Tahoma" w:hAnsi="Tahoma" w:cs="Tahoma"/>
                <w:i/>
                <w:sz w:val="16"/>
                <w:szCs w:val="16"/>
              </w:rPr>
            </w:pPr>
            <w:r>
              <w:rPr>
                <w:rFonts w:ascii="Tahoma" w:hAnsi="Tahoma" w:cs="Tahoma"/>
                <w:i/>
                <w:sz w:val="16"/>
                <w:szCs w:val="16"/>
              </w:rPr>
              <w:t>20</w:t>
            </w:r>
            <w:r w:rsidRPr="002C780E">
              <w:rPr>
                <w:rFonts w:ascii="Tahoma" w:hAnsi="Tahoma" w:cs="Tahoma"/>
                <w:i/>
                <w:sz w:val="16"/>
                <w:szCs w:val="16"/>
              </w:rPr>
              <w:t>.00</w:t>
            </w:r>
          </w:p>
        </w:tc>
        <w:tc>
          <w:tcPr>
            <w:tcW w:w="993" w:type="dxa"/>
          </w:tcPr>
          <w:p w:rsidR="002E78D8" w:rsidRPr="002C780E" w:rsidRDefault="002E78D8" w:rsidP="007234C9">
            <w:pPr>
              <w:autoSpaceDE w:val="0"/>
              <w:autoSpaceDN w:val="0"/>
              <w:adjustRightInd w:val="0"/>
              <w:jc w:val="center"/>
              <w:rPr>
                <w:rFonts w:ascii="Tahoma" w:hAnsi="Tahoma" w:cs="Tahoma"/>
                <w:i/>
                <w:sz w:val="16"/>
                <w:szCs w:val="16"/>
              </w:rPr>
            </w:pPr>
            <w:r w:rsidRPr="002C780E">
              <w:rPr>
                <w:rFonts w:ascii="Tahoma" w:hAnsi="Tahoma" w:cs="Tahoma"/>
                <w:i/>
                <w:sz w:val="16"/>
                <w:szCs w:val="16"/>
              </w:rPr>
              <w:t>40.00</w:t>
            </w:r>
          </w:p>
        </w:tc>
        <w:tc>
          <w:tcPr>
            <w:tcW w:w="992" w:type="dxa"/>
          </w:tcPr>
          <w:p w:rsidR="002E78D8" w:rsidRPr="002C780E" w:rsidRDefault="002E78D8" w:rsidP="007234C9">
            <w:pPr>
              <w:autoSpaceDE w:val="0"/>
              <w:autoSpaceDN w:val="0"/>
              <w:adjustRightInd w:val="0"/>
              <w:jc w:val="center"/>
              <w:rPr>
                <w:rFonts w:ascii="Tahoma" w:hAnsi="Tahoma" w:cs="Tahoma"/>
                <w:i/>
                <w:sz w:val="16"/>
                <w:szCs w:val="16"/>
              </w:rPr>
            </w:pPr>
            <w:r>
              <w:rPr>
                <w:rFonts w:ascii="Tahoma" w:hAnsi="Tahoma" w:cs="Tahoma"/>
                <w:i/>
                <w:sz w:val="16"/>
                <w:szCs w:val="16"/>
              </w:rPr>
              <w:t>100</w:t>
            </w:r>
            <w:r w:rsidRPr="002C780E">
              <w:rPr>
                <w:rFonts w:ascii="Tahoma" w:hAnsi="Tahoma" w:cs="Tahoma"/>
                <w:i/>
                <w:sz w:val="16"/>
                <w:szCs w:val="16"/>
              </w:rPr>
              <w:t>.00</w:t>
            </w:r>
          </w:p>
        </w:tc>
        <w:tc>
          <w:tcPr>
            <w:tcW w:w="1417" w:type="dxa"/>
          </w:tcPr>
          <w:p w:rsidR="002E78D8" w:rsidRPr="002C780E" w:rsidRDefault="002E78D8" w:rsidP="007234C9">
            <w:pPr>
              <w:autoSpaceDE w:val="0"/>
              <w:autoSpaceDN w:val="0"/>
              <w:adjustRightInd w:val="0"/>
              <w:jc w:val="center"/>
              <w:rPr>
                <w:rFonts w:ascii="Tahoma" w:hAnsi="Tahoma" w:cs="Tahoma"/>
                <w:i/>
                <w:sz w:val="16"/>
                <w:szCs w:val="16"/>
              </w:rPr>
            </w:pPr>
            <w:r>
              <w:rPr>
                <w:rFonts w:ascii="Tahoma" w:hAnsi="Tahoma" w:cs="Tahoma"/>
                <w:i/>
                <w:sz w:val="16"/>
                <w:szCs w:val="16"/>
              </w:rPr>
              <w:t>ADMITIDA</w:t>
            </w:r>
          </w:p>
        </w:tc>
      </w:tr>
      <w:tr w:rsidR="002E78D8" w:rsidRPr="002C780E" w:rsidTr="007234C9">
        <w:tc>
          <w:tcPr>
            <w:tcW w:w="425" w:type="dxa"/>
          </w:tcPr>
          <w:p w:rsidR="002E78D8" w:rsidRPr="002C780E" w:rsidRDefault="002E78D8" w:rsidP="007234C9">
            <w:pPr>
              <w:autoSpaceDE w:val="0"/>
              <w:autoSpaceDN w:val="0"/>
              <w:adjustRightInd w:val="0"/>
              <w:jc w:val="center"/>
              <w:rPr>
                <w:rFonts w:ascii="Tahoma" w:hAnsi="Tahoma" w:cs="Tahoma"/>
                <w:i/>
                <w:sz w:val="16"/>
                <w:szCs w:val="16"/>
              </w:rPr>
            </w:pPr>
            <w:r w:rsidRPr="002C780E">
              <w:rPr>
                <w:rFonts w:ascii="Tahoma" w:hAnsi="Tahoma" w:cs="Tahoma"/>
                <w:i/>
                <w:sz w:val="16"/>
                <w:szCs w:val="16"/>
              </w:rPr>
              <w:t>2</w:t>
            </w:r>
          </w:p>
        </w:tc>
        <w:tc>
          <w:tcPr>
            <w:tcW w:w="1418" w:type="dxa"/>
          </w:tcPr>
          <w:p w:rsidR="002E78D8" w:rsidRPr="002C780E" w:rsidRDefault="002E78D8" w:rsidP="007234C9">
            <w:pPr>
              <w:autoSpaceDE w:val="0"/>
              <w:autoSpaceDN w:val="0"/>
              <w:adjustRightInd w:val="0"/>
              <w:jc w:val="center"/>
              <w:rPr>
                <w:rFonts w:ascii="Tahoma" w:hAnsi="Tahoma" w:cs="Tahoma"/>
                <w:i/>
                <w:sz w:val="16"/>
                <w:szCs w:val="16"/>
              </w:rPr>
            </w:pPr>
            <w:r w:rsidRPr="002C780E">
              <w:rPr>
                <w:rFonts w:ascii="Tahoma" w:hAnsi="Tahoma" w:cs="Tahoma"/>
                <w:i/>
                <w:sz w:val="16"/>
                <w:szCs w:val="16"/>
              </w:rPr>
              <w:t>FRESENIUS MEDICAL CARE DEL PERÚ S.A.</w:t>
            </w:r>
          </w:p>
        </w:tc>
        <w:tc>
          <w:tcPr>
            <w:tcW w:w="1276" w:type="dxa"/>
          </w:tcPr>
          <w:p w:rsidR="002E78D8" w:rsidRPr="002C780E" w:rsidRDefault="002E78D8" w:rsidP="007234C9">
            <w:pPr>
              <w:autoSpaceDE w:val="0"/>
              <w:autoSpaceDN w:val="0"/>
              <w:adjustRightInd w:val="0"/>
              <w:jc w:val="center"/>
              <w:rPr>
                <w:rFonts w:ascii="Tahoma" w:hAnsi="Tahoma" w:cs="Tahoma"/>
                <w:i/>
                <w:sz w:val="16"/>
                <w:szCs w:val="16"/>
              </w:rPr>
            </w:pPr>
            <w:r w:rsidRPr="002C780E">
              <w:rPr>
                <w:rFonts w:ascii="Tahoma" w:hAnsi="Tahoma" w:cs="Tahoma"/>
                <w:i/>
                <w:sz w:val="16"/>
                <w:szCs w:val="16"/>
              </w:rPr>
              <w:t>40.00</w:t>
            </w:r>
          </w:p>
        </w:tc>
        <w:tc>
          <w:tcPr>
            <w:tcW w:w="1417" w:type="dxa"/>
          </w:tcPr>
          <w:p w:rsidR="002E78D8" w:rsidRPr="002C780E" w:rsidRDefault="002E78D8" w:rsidP="007234C9">
            <w:pPr>
              <w:autoSpaceDE w:val="0"/>
              <w:autoSpaceDN w:val="0"/>
              <w:adjustRightInd w:val="0"/>
              <w:jc w:val="center"/>
              <w:rPr>
                <w:rFonts w:ascii="Tahoma" w:hAnsi="Tahoma" w:cs="Tahoma"/>
                <w:i/>
                <w:sz w:val="16"/>
                <w:szCs w:val="16"/>
              </w:rPr>
            </w:pPr>
            <w:r w:rsidRPr="002C780E">
              <w:rPr>
                <w:rFonts w:ascii="Tahoma" w:hAnsi="Tahoma" w:cs="Tahoma"/>
                <w:i/>
                <w:sz w:val="16"/>
                <w:szCs w:val="16"/>
              </w:rPr>
              <w:t>20.00</w:t>
            </w:r>
          </w:p>
        </w:tc>
        <w:tc>
          <w:tcPr>
            <w:tcW w:w="993" w:type="dxa"/>
          </w:tcPr>
          <w:p w:rsidR="002E78D8" w:rsidRPr="002C780E" w:rsidRDefault="002E78D8" w:rsidP="007234C9">
            <w:pPr>
              <w:autoSpaceDE w:val="0"/>
              <w:autoSpaceDN w:val="0"/>
              <w:adjustRightInd w:val="0"/>
              <w:jc w:val="center"/>
              <w:rPr>
                <w:rFonts w:ascii="Tahoma" w:hAnsi="Tahoma" w:cs="Tahoma"/>
                <w:i/>
                <w:sz w:val="16"/>
                <w:szCs w:val="16"/>
              </w:rPr>
            </w:pPr>
            <w:r w:rsidRPr="002C780E">
              <w:rPr>
                <w:rFonts w:ascii="Tahoma" w:hAnsi="Tahoma" w:cs="Tahoma"/>
                <w:i/>
                <w:sz w:val="16"/>
                <w:szCs w:val="16"/>
              </w:rPr>
              <w:t>40.00</w:t>
            </w:r>
          </w:p>
        </w:tc>
        <w:tc>
          <w:tcPr>
            <w:tcW w:w="992" w:type="dxa"/>
          </w:tcPr>
          <w:p w:rsidR="002E78D8" w:rsidRPr="002C780E" w:rsidRDefault="002E78D8" w:rsidP="007234C9">
            <w:pPr>
              <w:autoSpaceDE w:val="0"/>
              <w:autoSpaceDN w:val="0"/>
              <w:adjustRightInd w:val="0"/>
              <w:jc w:val="center"/>
              <w:rPr>
                <w:rFonts w:ascii="Tahoma" w:hAnsi="Tahoma" w:cs="Tahoma"/>
                <w:i/>
                <w:sz w:val="16"/>
                <w:szCs w:val="16"/>
              </w:rPr>
            </w:pPr>
            <w:r w:rsidRPr="002C780E">
              <w:rPr>
                <w:rFonts w:ascii="Tahoma" w:hAnsi="Tahoma" w:cs="Tahoma"/>
                <w:i/>
                <w:sz w:val="16"/>
                <w:szCs w:val="16"/>
              </w:rPr>
              <w:t>100.00</w:t>
            </w:r>
          </w:p>
        </w:tc>
        <w:tc>
          <w:tcPr>
            <w:tcW w:w="1417" w:type="dxa"/>
          </w:tcPr>
          <w:p w:rsidR="002E78D8" w:rsidRPr="002C780E" w:rsidRDefault="002E78D8" w:rsidP="007234C9">
            <w:pPr>
              <w:autoSpaceDE w:val="0"/>
              <w:autoSpaceDN w:val="0"/>
              <w:adjustRightInd w:val="0"/>
              <w:jc w:val="center"/>
              <w:rPr>
                <w:rFonts w:ascii="Tahoma" w:hAnsi="Tahoma" w:cs="Tahoma"/>
                <w:i/>
                <w:sz w:val="16"/>
                <w:szCs w:val="16"/>
              </w:rPr>
            </w:pPr>
            <w:r w:rsidRPr="002C780E">
              <w:rPr>
                <w:rFonts w:ascii="Tahoma" w:hAnsi="Tahoma" w:cs="Tahoma"/>
                <w:i/>
                <w:sz w:val="16"/>
                <w:szCs w:val="16"/>
              </w:rPr>
              <w:t>ADMITIDA</w:t>
            </w:r>
          </w:p>
        </w:tc>
      </w:tr>
    </w:tbl>
    <w:p w:rsidR="002E78D8" w:rsidRDefault="002E78D8" w:rsidP="002E78D8">
      <w:pPr>
        <w:ind w:left="567"/>
        <w:jc w:val="both"/>
        <w:rPr>
          <w:rFonts w:ascii="Tahoma" w:hAnsi="Tahoma" w:cs="Tahoma"/>
          <w:sz w:val="22"/>
          <w:szCs w:val="22"/>
        </w:rPr>
      </w:pPr>
    </w:p>
    <w:p w:rsidR="002E78D8" w:rsidRDefault="002E78D8" w:rsidP="002E78D8">
      <w:pPr>
        <w:pStyle w:val="Sangradetextonormal"/>
        <w:widowControl w:val="0"/>
        <w:numPr>
          <w:ilvl w:val="0"/>
          <w:numId w:val="1"/>
        </w:numPr>
        <w:suppressAutoHyphens/>
        <w:spacing w:after="0"/>
        <w:ind w:left="567" w:hanging="567"/>
        <w:jc w:val="both"/>
        <w:rPr>
          <w:rFonts w:ascii="Tahoma" w:hAnsi="Tahoma" w:cs="Tahoma"/>
          <w:sz w:val="22"/>
          <w:szCs w:val="22"/>
        </w:rPr>
      </w:pPr>
      <w:r w:rsidRPr="002C1945">
        <w:rPr>
          <w:rFonts w:ascii="Tahoma" w:hAnsi="Tahoma" w:cs="Tahoma"/>
          <w:sz w:val="22"/>
          <w:szCs w:val="22"/>
        </w:rPr>
        <w:t xml:space="preserve">En tal sentido, evidenciándose que el Impugnante ha logrado revertir su descalificación, corresponde emitir pronunciamiento respecto a los cuestionamientos formulados a la propuesta del Adjudicatario. </w:t>
      </w:r>
    </w:p>
    <w:p w:rsidR="002E78D8" w:rsidRDefault="002E78D8" w:rsidP="002E78D8">
      <w:pPr>
        <w:pStyle w:val="Prrafodelista"/>
        <w:ind w:left="567"/>
        <w:rPr>
          <w:rFonts w:ascii="Tahoma" w:hAnsi="Tahoma" w:cs="Tahoma"/>
          <w:sz w:val="22"/>
          <w:szCs w:val="22"/>
        </w:rPr>
      </w:pPr>
    </w:p>
    <w:p w:rsidR="002E78D8" w:rsidRPr="005564BF" w:rsidRDefault="002E78D8" w:rsidP="002E78D8">
      <w:pPr>
        <w:pStyle w:val="Prrafodelista"/>
        <w:ind w:left="567"/>
        <w:rPr>
          <w:rFonts w:ascii="Tahoma" w:hAnsi="Tahoma" w:cs="Tahoma"/>
          <w:b/>
          <w:sz w:val="22"/>
          <w:szCs w:val="22"/>
        </w:rPr>
      </w:pPr>
      <w:r w:rsidRPr="005564BF">
        <w:rPr>
          <w:rFonts w:ascii="Tahoma" w:hAnsi="Tahoma" w:cs="Tahoma"/>
          <w:b/>
          <w:sz w:val="22"/>
          <w:szCs w:val="22"/>
        </w:rPr>
        <w:t>CUESTIONAMIENTOS CONTRA LA PROPUESTA DEL ADJUDICATARIO</w:t>
      </w:r>
    </w:p>
    <w:p w:rsidR="002E78D8" w:rsidRPr="002C1945" w:rsidRDefault="002E78D8" w:rsidP="002E78D8">
      <w:pPr>
        <w:pStyle w:val="Prrafodelista"/>
        <w:ind w:left="567"/>
        <w:rPr>
          <w:rFonts w:ascii="Tahoma" w:hAnsi="Tahoma" w:cs="Tahoma"/>
          <w:sz w:val="22"/>
          <w:szCs w:val="22"/>
        </w:rPr>
      </w:pPr>
    </w:p>
    <w:p w:rsidR="002E78D8" w:rsidRPr="006F3977" w:rsidRDefault="002E78D8" w:rsidP="002E78D8">
      <w:pPr>
        <w:pStyle w:val="Sangradetextonormal"/>
        <w:widowControl w:val="0"/>
        <w:numPr>
          <w:ilvl w:val="0"/>
          <w:numId w:val="1"/>
        </w:numPr>
        <w:suppressAutoHyphens/>
        <w:spacing w:after="0"/>
        <w:ind w:left="567" w:hanging="567"/>
        <w:jc w:val="both"/>
        <w:rPr>
          <w:rFonts w:ascii="Tahoma" w:hAnsi="Tahoma" w:cs="Tahoma"/>
          <w:sz w:val="22"/>
          <w:szCs w:val="22"/>
        </w:rPr>
      </w:pPr>
      <w:r w:rsidRPr="006F3977">
        <w:rPr>
          <w:rFonts w:ascii="Tahoma" w:hAnsi="Tahoma" w:cs="Tahoma"/>
          <w:sz w:val="22"/>
          <w:szCs w:val="22"/>
          <w:lang w:val="es-ES_tradnl"/>
        </w:rPr>
        <w:t xml:space="preserve">El Impugnante ha cuestionado la propuesta técnica presentada por el Adjudicatario, entre otros argumentos, </w:t>
      </w:r>
      <w:r>
        <w:rPr>
          <w:rFonts w:ascii="Tahoma" w:hAnsi="Tahoma" w:cs="Tahoma"/>
          <w:sz w:val="22"/>
          <w:szCs w:val="22"/>
          <w:lang w:val="es-ES_tradnl"/>
        </w:rPr>
        <w:t>porque el componente “Obturador” no cumpliría con las especificaciones de las Bases Integradas, al no acreditar la condición de estéril.</w:t>
      </w:r>
    </w:p>
    <w:p w:rsidR="002E78D8" w:rsidRDefault="002E78D8" w:rsidP="002E78D8">
      <w:pPr>
        <w:pStyle w:val="Sangradetextonormal"/>
        <w:widowControl w:val="0"/>
        <w:suppressAutoHyphens/>
        <w:spacing w:after="0"/>
        <w:ind w:left="567"/>
        <w:jc w:val="both"/>
        <w:rPr>
          <w:rFonts w:ascii="Tahoma" w:hAnsi="Tahoma" w:cs="Tahoma"/>
          <w:sz w:val="22"/>
          <w:szCs w:val="22"/>
        </w:rPr>
      </w:pPr>
    </w:p>
    <w:p w:rsidR="002E78D8" w:rsidRPr="006F3977" w:rsidRDefault="002E78D8" w:rsidP="002E78D8">
      <w:pPr>
        <w:pStyle w:val="Sangradetextonormal"/>
        <w:widowControl w:val="0"/>
        <w:suppressAutoHyphens/>
        <w:spacing w:after="0"/>
        <w:ind w:left="567"/>
        <w:jc w:val="both"/>
        <w:rPr>
          <w:rFonts w:ascii="Tahoma" w:hAnsi="Tahoma" w:cs="Tahoma"/>
          <w:sz w:val="22"/>
          <w:szCs w:val="22"/>
        </w:rPr>
      </w:pPr>
      <w:r>
        <w:rPr>
          <w:rFonts w:ascii="Tahoma" w:hAnsi="Tahoma" w:cs="Tahoma"/>
          <w:sz w:val="22"/>
          <w:szCs w:val="22"/>
        </w:rPr>
        <w:t>Al respecto, señaló que el A</w:t>
      </w:r>
      <w:r w:rsidRPr="006F3977">
        <w:rPr>
          <w:rFonts w:ascii="Tahoma" w:hAnsi="Tahoma" w:cs="Tahoma"/>
          <w:sz w:val="22"/>
          <w:szCs w:val="22"/>
        </w:rPr>
        <w:t>djudica</w:t>
      </w:r>
      <w:r>
        <w:rPr>
          <w:rFonts w:ascii="Tahoma" w:hAnsi="Tahoma" w:cs="Tahoma"/>
          <w:sz w:val="22"/>
          <w:szCs w:val="22"/>
        </w:rPr>
        <w:t>tario</w:t>
      </w:r>
      <w:r w:rsidRPr="006F3977">
        <w:rPr>
          <w:rFonts w:ascii="Tahoma" w:hAnsi="Tahoma" w:cs="Tahoma"/>
          <w:sz w:val="22"/>
          <w:szCs w:val="22"/>
        </w:rPr>
        <w:t xml:space="preserve"> declaró a folios 28 de su propuesta, que el obturador no aplicaba para el método de esterilización; por lo tanto, reconocía que su producto no cumplía con las especificaciones de las bases del proceso de selección; no obstante ello, a folios 30 de su misma propuesta, señaló que dicho producto si era estéril por el método del óxido de etileno, sin embargo, a folios 92 señaló que su producto está etiquetado como estéril ya que no ha sido esterilizado por medio de óxido de etileno (…) Pero debido al hecho de que el tapón (…) contiene un desinfectante basado en yodopolividona, la esterilización del producto no es necesaria para el uso indicado del mismo, por lo tanto, lo señalado por la Adjudicataria caen en una insalvable contradicción y, además, también contravendría el Principio de Moralidad, toda vez que han realizado una declaración no acorde a la verdad de su propuesta. </w:t>
      </w:r>
    </w:p>
    <w:p w:rsidR="002E78D8" w:rsidRPr="005564BF" w:rsidRDefault="002E78D8" w:rsidP="002E78D8">
      <w:pPr>
        <w:pStyle w:val="Sangradetextonormal"/>
        <w:widowControl w:val="0"/>
        <w:suppressAutoHyphens/>
        <w:spacing w:after="0"/>
        <w:ind w:left="567"/>
        <w:jc w:val="both"/>
        <w:rPr>
          <w:rFonts w:ascii="Tahoma" w:hAnsi="Tahoma" w:cs="Tahoma"/>
          <w:sz w:val="22"/>
          <w:szCs w:val="22"/>
        </w:rPr>
      </w:pPr>
    </w:p>
    <w:p w:rsidR="002E78D8" w:rsidRDefault="002E78D8" w:rsidP="002E78D8">
      <w:pPr>
        <w:pStyle w:val="Sangradetextonormal"/>
        <w:widowControl w:val="0"/>
        <w:numPr>
          <w:ilvl w:val="0"/>
          <w:numId w:val="1"/>
        </w:numPr>
        <w:suppressAutoHyphens/>
        <w:spacing w:after="0"/>
        <w:ind w:left="567" w:hanging="567"/>
        <w:jc w:val="both"/>
        <w:rPr>
          <w:rFonts w:ascii="Tahoma" w:hAnsi="Tahoma" w:cs="Tahoma"/>
          <w:sz w:val="22"/>
          <w:szCs w:val="22"/>
        </w:rPr>
      </w:pPr>
      <w:r w:rsidRPr="006F3977">
        <w:rPr>
          <w:rFonts w:ascii="Tahoma" w:hAnsi="Tahoma" w:cs="Tahoma"/>
          <w:sz w:val="22"/>
          <w:szCs w:val="22"/>
        </w:rPr>
        <w:t xml:space="preserve">Asimismo, la Entidad señaló que </w:t>
      </w:r>
      <w:r>
        <w:rPr>
          <w:rFonts w:ascii="Tahoma" w:hAnsi="Tahoma" w:cs="Tahoma"/>
          <w:sz w:val="22"/>
          <w:szCs w:val="22"/>
        </w:rPr>
        <w:t>evaluada la propuesta técnica del Adjudicatario</w:t>
      </w:r>
      <w:r w:rsidRPr="006F3977">
        <w:rPr>
          <w:rFonts w:ascii="Tahoma" w:hAnsi="Tahoma" w:cs="Tahoma"/>
          <w:sz w:val="22"/>
          <w:szCs w:val="22"/>
        </w:rPr>
        <w:t xml:space="preserve">, </w:t>
      </w:r>
      <w:r w:rsidRPr="006F3977">
        <w:rPr>
          <w:rFonts w:ascii="Tahoma" w:hAnsi="Tahoma" w:cs="Tahoma"/>
          <w:sz w:val="22"/>
          <w:szCs w:val="22"/>
        </w:rPr>
        <w:lastRenderedPageBreak/>
        <w:t>se evidencia en el folio 30 que el componente 6 (obturador), ha sido esterilizado mediante el método de Oxido de Etileno; sin embargo, en el folio 91 encontramos el Protocolo de Análisis del Obturador, en el que se indica solamente la prueba de “Calidad Microbiológica del Desinfectante”, pero no se evidencia la prueba de esterilidad de dicho componente; además, en el folio 92 se ratifica que el componente no ha sido esterilizado.</w:t>
      </w:r>
    </w:p>
    <w:p w:rsidR="002E78D8" w:rsidRDefault="002E78D8" w:rsidP="002E78D8">
      <w:pPr>
        <w:pStyle w:val="Prrafodelista"/>
        <w:ind w:left="1134" w:hanging="567"/>
        <w:jc w:val="both"/>
        <w:rPr>
          <w:rFonts w:ascii="Tahoma" w:hAnsi="Tahoma" w:cs="Tahoma"/>
          <w:sz w:val="22"/>
          <w:szCs w:val="22"/>
        </w:rPr>
      </w:pPr>
    </w:p>
    <w:p w:rsidR="002E78D8" w:rsidRDefault="002E78D8" w:rsidP="002E78D8">
      <w:pPr>
        <w:ind w:left="567"/>
        <w:jc w:val="both"/>
        <w:rPr>
          <w:rFonts w:ascii="Tahoma" w:hAnsi="Tahoma" w:cs="Tahoma"/>
          <w:sz w:val="22"/>
          <w:szCs w:val="22"/>
        </w:rPr>
      </w:pPr>
      <w:r>
        <w:rPr>
          <w:rFonts w:ascii="Tahoma" w:hAnsi="Tahoma" w:cs="Tahoma"/>
          <w:sz w:val="22"/>
          <w:szCs w:val="22"/>
        </w:rPr>
        <w:t xml:space="preserve">En virtud a ello, el componente </w:t>
      </w:r>
      <w:r w:rsidRPr="006F3977">
        <w:rPr>
          <w:rFonts w:ascii="Tahoma" w:hAnsi="Tahoma" w:cs="Tahoma"/>
          <w:sz w:val="22"/>
          <w:szCs w:val="22"/>
        </w:rPr>
        <w:t>6 (obturad</w:t>
      </w:r>
      <w:r>
        <w:rPr>
          <w:rFonts w:ascii="Tahoma" w:hAnsi="Tahoma" w:cs="Tahoma"/>
          <w:sz w:val="22"/>
          <w:szCs w:val="22"/>
        </w:rPr>
        <w:t>or) del producto ofertado por el Adjudicatario</w:t>
      </w:r>
      <w:r w:rsidRPr="006F3977">
        <w:rPr>
          <w:rFonts w:ascii="Tahoma" w:hAnsi="Tahoma" w:cs="Tahoma"/>
          <w:sz w:val="22"/>
          <w:szCs w:val="22"/>
        </w:rPr>
        <w:t>, no cumple con la especificación técnica del Material referido a la Condición: Estéril, de conformidad con el literal c de las Especificaciones Técnicas de las Bases Integradas.</w:t>
      </w:r>
    </w:p>
    <w:p w:rsidR="002E78D8" w:rsidRDefault="002E78D8" w:rsidP="002E78D8">
      <w:pPr>
        <w:ind w:left="567"/>
        <w:jc w:val="both"/>
        <w:rPr>
          <w:rFonts w:ascii="Tahoma" w:hAnsi="Tahoma" w:cs="Tahoma"/>
          <w:sz w:val="22"/>
          <w:szCs w:val="22"/>
        </w:rPr>
      </w:pPr>
    </w:p>
    <w:p w:rsidR="002E78D8" w:rsidRDefault="002E78D8" w:rsidP="002E78D8">
      <w:pPr>
        <w:ind w:left="567"/>
        <w:jc w:val="both"/>
        <w:rPr>
          <w:rFonts w:ascii="Tahoma" w:hAnsi="Tahoma" w:cs="Tahoma"/>
          <w:sz w:val="22"/>
          <w:szCs w:val="22"/>
        </w:rPr>
      </w:pPr>
      <w:r>
        <w:rPr>
          <w:rFonts w:ascii="Tahoma" w:hAnsi="Tahoma" w:cs="Tahoma"/>
          <w:sz w:val="22"/>
          <w:szCs w:val="22"/>
        </w:rPr>
        <w:t>Por otro lado, también indicó que el OBTURADOR contiene la solución desinfectante de yodopovidona, el cual sirve, como su propio nombre lo dice, para obturar el prolongador, es decir, para cerrar el prolongador y evitar de esa manera el contacto con el medio externo. Por lo tanto, reiteraron que el OBTURADOR entra en contacto con el PROLONGADOR y para evitar una posible contaminación, es que el obturador contiene internamente la solución desinfectante de yodopovidona; sin embargo, debido a que las bases del presente proceso establecen que dicho componente debe ser estéril, la propuesta presentadas por la Adjudicataria no cumple.</w:t>
      </w:r>
    </w:p>
    <w:p w:rsidR="002E78D8" w:rsidRDefault="002E78D8" w:rsidP="002E78D8">
      <w:pPr>
        <w:ind w:left="567"/>
        <w:jc w:val="both"/>
        <w:rPr>
          <w:rFonts w:ascii="Tahoma" w:hAnsi="Tahoma" w:cs="Tahoma"/>
          <w:sz w:val="22"/>
          <w:szCs w:val="22"/>
        </w:rPr>
      </w:pPr>
    </w:p>
    <w:p w:rsidR="002E78D8" w:rsidRDefault="002E78D8" w:rsidP="002E78D8">
      <w:pPr>
        <w:tabs>
          <w:tab w:val="num" w:pos="567"/>
        </w:tabs>
        <w:ind w:left="567"/>
        <w:jc w:val="both"/>
        <w:rPr>
          <w:rFonts w:ascii="Tahoma" w:hAnsi="Tahoma" w:cs="Tahoma"/>
          <w:sz w:val="22"/>
          <w:szCs w:val="22"/>
        </w:rPr>
      </w:pPr>
      <w:r>
        <w:rPr>
          <w:rFonts w:ascii="Tahoma" w:hAnsi="Tahoma" w:cs="Tahoma"/>
          <w:sz w:val="22"/>
          <w:szCs w:val="22"/>
        </w:rPr>
        <w:t>Finalmente, señaló que se dice que un producto es estéril cuando se ha producido una destrucción o eliminación completa de toda forma de vida microbiana, y que puede llevarse a cabo por procesos físico o químicos como el vapor a presión, calor seco, óxido de etileno, líquidos químicos; asimismo, indicó que la Desinfección/ Antiseptico, es un proceso mediante el cual se elimina la mayoría o todos los microorganismos sobre los objeto inanimados con la excepción de esporas bacterianas, por lo tanto, ningún desinfectante puede lograr la condición de “Esteril”.</w:t>
      </w:r>
    </w:p>
    <w:p w:rsidR="002E78D8" w:rsidRDefault="002E78D8" w:rsidP="002E78D8">
      <w:pPr>
        <w:pStyle w:val="Sangradetextonormal"/>
        <w:widowControl w:val="0"/>
        <w:suppressAutoHyphens/>
        <w:spacing w:after="0"/>
        <w:ind w:left="567"/>
        <w:jc w:val="both"/>
        <w:rPr>
          <w:rFonts w:ascii="Tahoma" w:hAnsi="Tahoma" w:cs="Tahoma"/>
          <w:sz w:val="22"/>
          <w:szCs w:val="22"/>
        </w:rPr>
      </w:pPr>
    </w:p>
    <w:p w:rsidR="002E78D8" w:rsidRDefault="002E78D8" w:rsidP="002E78D8">
      <w:pPr>
        <w:pStyle w:val="Sangradetextonormal"/>
        <w:widowControl w:val="0"/>
        <w:numPr>
          <w:ilvl w:val="0"/>
          <w:numId w:val="1"/>
        </w:numPr>
        <w:suppressAutoHyphens/>
        <w:spacing w:after="0"/>
        <w:ind w:left="567" w:hanging="567"/>
        <w:jc w:val="both"/>
        <w:rPr>
          <w:rFonts w:ascii="Tahoma" w:hAnsi="Tahoma" w:cs="Tahoma"/>
          <w:sz w:val="22"/>
          <w:szCs w:val="22"/>
        </w:rPr>
      </w:pPr>
      <w:r w:rsidRPr="00FE283A">
        <w:rPr>
          <w:rFonts w:ascii="Tahoma" w:hAnsi="Tahoma" w:cs="Tahoma"/>
          <w:sz w:val="22"/>
          <w:szCs w:val="22"/>
        </w:rPr>
        <w:t>A su turno, el Adjudicatario ha señalado que ha cumplido con acreditar que el Obturador es un material de condición estéril, toda vez que a folio 92 de su propuesta técnica, obra la Carta de</w:t>
      </w:r>
      <w:r>
        <w:rPr>
          <w:rFonts w:ascii="Tahoma" w:hAnsi="Tahoma" w:cs="Tahoma"/>
          <w:sz w:val="22"/>
          <w:szCs w:val="22"/>
        </w:rPr>
        <w:t>l Fabricante en la que se señaló</w:t>
      </w:r>
      <w:r w:rsidRPr="00FE283A">
        <w:rPr>
          <w:rFonts w:ascii="Tahoma" w:hAnsi="Tahoma" w:cs="Tahoma"/>
          <w:sz w:val="22"/>
          <w:szCs w:val="22"/>
        </w:rPr>
        <w:t xml:space="preserve"> que el producto es estéril, al explicarse que cada obturador cuenta con un tapón desinfectante stay- safe, basado en yodopovidona, que lo mantiene esterilizado, </w:t>
      </w:r>
      <w:r>
        <w:rPr>
          <w:rFonts w:ascii="Tahoma" w:hAnsi="Tahoma" w:cs="Tahoma"/>
          <w:sz w:val="22"/>
          <w:szCs w:val="22"/>
          <w:lang w:val="es-ES_tradnl"/>
        </w:rPr>
        <w:t>al tener propiedades bactericidas, fungicidas, tuberculocidas, protozoaricidas, virucidas y esporicidas,</w:t>
      </w:r>
      <w:r w:rsidRPr="00FE283A">
        <w:rPr>
          <w:rFonts w:ascii="Tahoma" w:hAnsi="Tahoma" w:cs="Tahoma"/>
          <w:sz w:val="22"/>
          <w:szCs w:val="22"/>
        </w:rPr>
        <w:t xml:space="preserve"> por lo que no era necesario emplear algún otro método de esterilización adicional.</w:t>
      </w:r>
    </w:p>
    <w:p w:rsidR="002E78D8" w:rsidRDefault="002E78D8" w:rsidP="002E78D8">
      <w:pPr>
        <w:pStyle w:val="Sangradetextonormal"/>
        <w:widowControl w:val="0"/>
        <w:suppressAutoHyphens/>
        <w:spacing w:after="0"/>
        <w:ind w:left="567"/>
        <w:jc w:val="both"/>
        <w:rPr>
          <w:rFonts w:ascii="Tahoma" w:hAnsi="Tahoma" w:cs="Tahoma"/>
          <w:sz w:val="22"/>
          <w:szCs w:val="22"/>
        </w:rPr>
      </w:pPr>
    </w:p>
    <w:p w:rsidR="002E78D8" w:rsidRDefault="002E78D8" w:rsidP="002E78D8">
      <w:pPr>
        <w:ind w:left="567"/>
        <w:jc w:val="both"/>
        <w:rPr>
          <w:rFonts w:ascii="Tahoma" w:hAnsi="Tahoma" w:cs="Tahoma"/>
          <w:sz w:val="22"/>
          <w:szCs w:val="22"/>
        </w:rPr>
      </w:pPr>
      <w:r>
        <w:rPr>
          <w:rFonts w:ascii="Tahoma" w:hAnsi="Tahoma" w:cs="Tahoma"/>
          <w:sz w:val="22"/>
          <w:szCs w:val="22"/>
        </w:rPr>
        <w:t xml:space="preserve">Por lo tanto, agregó que si bien es cierto existió error al señalar </w:t>
      </w:r>
      <w:r w:rsidRPr="00FE283A">
        <w:rPr>
          <w:rFonts w:ascii="Tahoma" w:hAnsi="Tahoma" w:cs="Tahoma"/>
          <w:sz w:val="22"/>
          <w:szCs w:val="22"/>
        </w:rPr>
        <w:t>en la Declara</w:t>
      </w:r>
      <w:r>
        <w:rPr>
          <w:rFonts w:ascii="Tahoma" w:hAnsi="Tahoma" w:cs="Tahoma"/>
          <w:sz w:val="22"/>
          <w:szCs w:val="22"/>
        </w:rPr>
        <w:t>ción Jurada (folio 28)</w:t>
      </w:r>
      <w:r w:rsidRPr="00FE283A">
        <w:rPr>
          <w:rFonts w:ascii="Tahoma" w:hAnsi="Tahoma" w:cs="Tahoma"/>
          <w:sz w:val="22"/>
          <w:szCs w:val="22"/>
        </w:rPr>
        <w:t xml:space="preserve"> que el producto no requería método de esterilización y que, sin embargo, en la especificación técnica se dice que dicho producto ha sido esterilizado con óxido de etileno (folio 30), </w:t>
      </w:r>
      <w:r>
        <w:rPr>
          <w:rFonts w:ascii="Tahoma" w:hAnsi="Tahoma" w:cs="Tahoma"/>
          <w:sz w:val="22"/>
          <w:szCs w:val="22"/>
        </w:rPr>
        <w:t>ello no puede afectar su propuesta técnica, toda vez que de lo señalado en</w:t>
      </w:r>
      <w:r w:rsidRPr="00FE283A">
        <w:rPr>
          <w:rFonts w:ascii="Tahoma" w:hAnsi="Tahoma" w:cs="Tahoma"/>
          <w:sz w:val="22"/>
          <w:szCs w:val="22"/>
        </w:rPr>
        <w:t xml:space="preserve"> la Declaración Jurada y en la Carta del </w:t>
      </w:r>
      <w:r w:rsidRPr="00FE283A">
        <w:rPr>
          <w:rFonts w:ascii="Tahoma" w:hAnsi="Tahoma" w:cs="Tahoma"/>
          <w:sz w:val="22"/>
          <w:szCs w:val="22"/>
        </w:rPr>
        <w:lastRenderedPageBreak/>
        <w:t>fabricante, se puede acreditar que su producto no requiere de un método de esterilización, al contar con un tapa conteniendo “yodopovidona” el cual es un poderoso desinfectante</w:t>
      </w:r>
      <w:r>
        <w:rPr>
          <w:rFonts w:ascii="Tahoma" w:hAnsi="Tahoma" w:cs="Tahoma"/>
          <w:sz w:val="22"/>
          <w:szCs w:val="22"/>
        </w:rPr>
        <w:t xml:space="preserve"> y, además, las Bases no exigieron que se utilizará un método específico para asegurar la esterilidad del producto, por lo tanto, no es relevante si el producto es estéril por el “óxido de etileno” (que no se aplica al producto) o por las características del producto contenido en la tapa desinfectante. </w:t>
      </w:r>
    </w:p>
    <w:p w:rsidR="002E78D8" w:rsidRDefault="002E78D8" w:rsidP="002E78D8">
      <w:pPr>
        <w:ind w:left="567"/>
        <w:jc w:val="both"/>
        <w:rPr>
          <w:rFonts w:ascii="Tahoma" w:hAnsi="Tahoma" w:cs="Tahoma"/>
          <w:sz w:val="22"/>
          <w:szCs w:val="22"/>
        </w:rPr>
      </w:pPr>
    </w:p>
    <w:p w:rsidR="002E78D8" w:rsidRDefault="002E78D8" w:rsidP="002E78D8">
      <w:pPr>
        <w:ind w:left="567"/>
        <w:jc w:val="both"/>
        <w:rPr>
          <w:rFonts w:ascii="Tahoma" w:hAnsi="Tahoma" w:cs="Tahoma"/>
          <w:sz w:val="22"/>
          <w:szCs w:val="22"/>
          <w:lang w:val="es-ES_tradnl"/>
        </w:rPr>
      </w:pPr>
      <w:r>
        <w:rPr>
          <w:rFonts w:ascii="Tahoma" w:hAnsi="Tahoma" w:cs="Tahoma"/>
          <w:sz w:val="22"/>
          <w:szCs w:val="22"/>
        </w:rPr>
        <w:t>Así también, agregó que la condición de estéril del producto obturador también se acredita del Protocolo de Análisis (folio 91) que indica que el valor límite de la prueba de “Calidad Microbiológica del Desinfectante” es de 0 CFU/ml (unidad formadora de colonias/ml),</w:t>
      </w:r>
      <w:r w:rsidRPr="00B5193D">
        <w:rPr>
          <w:rFonts w:ascii="Tahoma" w:hAnsi="Tahoma" w:cs="Tahoma"/>
          <w:sz w:val="22"/>
          <w:szCs w:val="22"/>
          <w:lang w:val="es-ES_tradnl"/>
        </w:rPr>
        <w:t xml:space="preserve"> </w:t>
      </w:r>
      <w:r>
        <w:rPr>
          <w:rFonts w:ascii="Tahoma" w:hAnsi="Tahoma" w:cs="Tahoma"/>
          <w:sz w:val="22"/>
          <w:szCs w:val="22"/>
          <w:lang w:val="es-ES_tradnl"/>
        </w:rPr>
        <w:t>es decir que tiene la condición de estéril y que se encuentra libre de cualquier tipo de contaminación.</w:t>
      </w:r>
    </w:p>
    <w:p w:rsidR="002E78D8" w:rsidRDefault="002E78D8" w:rsidP="002E78D8">
      <w:pPr>
        <w:pStyle w:val="Prrafodelista"/>
        <w:ind w:left="1134" w:hanging="567"/>
        <w:jc w:val="both"/>
        <w:rPr>
          <w:rFonts w:ascii="Tahoma" w:hAnsi="Tahoma" w:cs="Tahoma"/>
          <w:sz w:val="22"/>
          <w:szCs w:val="22"/>
        </w:rPr>
      </w:pPr>
    </w:p>
    <w:p w:rsidR="002E78D8" w:rsidRPr="00B5193D" w:rsidRDefault="002E78D8" w:rsidP="002E78D8">
      <w:pPr>
        <w:tabs>
          <w:tab w:val="num" w:pos="567"/>
        </w:tabs>
        <w:ind w:left="540"/>
        <w:jc w:val="both"/>
        <w:rPr>
          <w:rFonts w:ascii="Tahoma" w:hAnsi="Tahoma" w:cs="Tahoma"/>
          <w:sz w:val="22"/>
          <w:szCs w:val="22"/>
        </w:rPr>
      </w:pPr>
      <w:r>
        <w:rPr>
          <w:rFonts w:ascii="Tahoma" w:hAnsi="Tahoma" w:cs="Tahoma"/>
          <w:sz w:val="22"/>
          <w:szCs w:val="22"/>
        </w:rPr>
        <w:t>Asimismo, indicó que</w:t>
      </w:r>
      <w:r w:rsidRPr="00B5193D">
        <w:rPr>
          <w:rFonts w:ascii="Tahoma" w:hAnsi="Tahoma" w:cs="Tahoma"/>
          <w:sz w:val="22"/>
          <w:szCs w:val="22"/>
        </w:rPr>
        <w:t xml:space="preserve"> otra prueba de la condición de esterilidad del Obturador, es que el producto ha ganado varias licitaciones y, actualmente, está siendo usado por ESSALUD en los pacientes que utilizan su sistema</w:t>
      </w:r>
      <w:r>
        <w:rPr>
          <w:rFonts w:ascii="Tahoma" w:hAnsi="Tahoma" w:cs="Tahoma"/>
          <w:sz w:val="22"/>
          <w:szCs w:val="22"/>
        </w:rPr>
        <w:t xml:space="preserve">, como en los procesos de selección Adjudicación de Menor Cuantía Nº 22741-2008, Adjudicación Directa Pública Nº 341-2006 y Adjudicación de Menor Cuantía Nº 55-2009, sin que haya sido cuestionado, </w:t>
      </w:r>
      <w:r w:rsidRPr="00B5193D">
        <w:rPr>
          <w:rFonts w:ascii="Tahoma" w:hAnsi="Tahoma" w:cs="Tahoma"/>
          <w:sz w:val="22"/>
          <w:szCs w:val="22"/>
        </w:rPr>
        <w:t>y ello se entienda perfectamente si se conoce el procedimiento de recambio con el sistema Andy.Disc, toda vez que el tapón desinfectante stay.safe se utiliza para obturar el prolongador, y lo único que se pone en contacto es el tapón con la solución desinfectante de yodopovidona, por lo que es n</w:t>
      </w:r>
      <w:r>
        <w:rPr>
          <w:rFonts w:ascii="Tahoma" w:hAnsi="Tahoma" w:cs="Tahoma"/>
          <w:sz w:val="22"/>
          <w:szCs w:val="22"/>
        </w:rPr>
        <w:t>ecesario que ese tapón si cumple</w:t>
      </w:r>
      <w:r w:rsidRPr="00B5193D">
        <w:rPr>
          <w:rFonts w:ascii="Tahoma" w:hAnsi="Tahoma" w:cs="Tahoma"/>
          <w:sz w:val="22"/>
          <w:szCs w:val="22"/>
        </w:rPr>
        <w:t xml:space="preserve"> con las condiciones de esterilida</w:t>
      </w:r>
      <w:r>
        <w:rPr>
          <w:rFonts w:ascii="Tahoma" w:hAnsi="Tahoma" w:cs="Tahoma"/>
          <w:sz w:val="22"/>
          <w:szCs w:val="22"/>
        </w:rPr>
        <w:t>d, mas no el resto del producto.</w:t>
      </w:r>
    </w:p>
    <w:p w:rsidR="002E78D8" w:rsidRDefault="002E78D8" w:rsidP="002E78D8">
      <w:pPr>
        <w:tabs>
          <w:tab w:val="num" w:pos="567"/>
        </w:tabs>
        <w:ind w:left="540"/>
        <w:jc w:val="both"/>
        <w:rPr>
          <w:rFonts w:ascii="Tahoma" w:hAnsi="Tahoma" w:cs="Tahoma"/>
          <w:sz w:val="22"/>
          <w:szCs w:val="22"/>
        </w:rPr>
      </w:pPr>
    </w:p>
    <w:p w:rsidR="002E78D8" w:rsidRDefault="002E78D8" w:rsidP="002E78D8">
      <w:pPr>
        <w:tabs>
          <w:tab w:val="num" w:pos="567"/>
        </w:tabs>
        <w:ind w:left="540"/>
        <w:jc w:val="both"/>
        <w:rPr>
          <w:rFonts w:ascii="Tahoma" w:hAnsi="Tahoma" w:cs="Tahoma"/>
          <w:sz w:val="22"/>
          <w:szCs w:val="22"/>
        </w:rPr>
      </w:pPr>
      <w:r>
        <w:rPr>
          <w:rFonts w:ascii="Tahoma" w:hAnsi="Tahoma" w:cs="Tahoma"/>
          <w:sz w:val="22"/>
          <w:szCs w:val="22"/>
        </w:rPr>
        <w:t>Por otra parte, afirmó que es incorrecto lo señalado por la Entidad, respecto a que a través de la yodopovidona no se pueden eliminar esporas bacterianas, toda vez que la literatura científica confirma que dicho elemento elimina los microorganismos que ponen en riesgo la salud, por sus potentes funciones bactericidas, fungicidas, virucidas, microbicidas y esporicidas, lo cual incluye la eliminación de esporas bacterianas.</w:t>
      </w:r>
    </w:p>
    <w:p w:rsidR="002E78D8" w:rsidRDefault="002E78D8" w:rsidP="002E78D8">
      <w:pPr>
        <w:tabs>
          <w:tab w:val="num" w:pos="567"/>
        </w:tabs>
        <w:ind w:left="540"/>
        <w:jc w:val="both"/>
        <w:rPr>
          <w:rFonts w:ascii="Tahoma" w:hAnsi="Tahoma" w:cs="Tahoma"/>
          <w:sz w:val="22"/>
          <w:szCs w:val="22"/>
        </w:rPr>
      </w:pPr>
    </w:p>
    <w:p w:rsidR="002E78D8" w:rsidRDefault="002E78D8" w:rsidP="002E78D8">
      <w:pPr>
        <w:tabs>
          <w:tab w:val="num" w:pos="567"/>
        </w:tabs>
        <w:ind w:left="540"/>
        <w:jc w:val="both"/>
        <w:rPr>
          <w:rFonts w:ascii="Tahoma" w:hAnsi="Tahoma" w:cs="Tahoma"/>
          <w:sz w:val="22"/>
          <w:szCs w:val="22"/>
        </w:rPr>
      </w:pPr>
      <w:r>
        <w:rPr>
          <w:rFonts w:ascii="Tahoma" w:hAnsi="Tahoma" w:cs="Tahoma"/>
          <w:sz w:val="22"/>
          <w:szCs w:val="22"/>
        </w:rPr>
        <w:t xml:space="preserve">Además, agregó que tal como se indicó en la carta del fabricante, así como de las especificaciones técnicas presentadas, el obturador que ofertó contiene una solución de yodopovidona en su cámara reservorio, la misma que genera que en dicho componente haya ausencia de microorganismos viables, tal como se señala en el Informe Técnico Nº AST-064-03-2011, emitido por la Dra. Ana María Chávez, en la cual se señaló que la condición microbiológica del obturador debida a la yodopovidona es la ausencia de microorganismos viables tales como: bacterias grampositivas, bacterias gramnegativas, hongos, virus, quistes, protozoarios, micobacterias, además, de esporas de bacilos y de clostridios según la literatura técnica especializada, siendo la acción que este liquido químico ejerce: bactericida, fungicida, virucida, microbicida y esporicida, respectivamente”, por lo cual, se debe considerar que el obturador ofertado tiene </w:t>
      </w:r>
      <w:r>
        <w:rPr>
          <w:rFonts w:ascii="Tahoma" w:hAnsi="Tahoma" w:cs="Tahoma"/>
          <w:sz w:val="22"/>
          <w:szCs w:val="22"/>
        </w:rPr>
        <w:lastRenderedPageBreak/>
        <w:t>la calidad de estéril, en tanto que hay ausencia de microorganimos viables, por la fuerte acción de la yodopovidona, debiéndose afirmar que dicho componente si cumple con lo establecido en las Bases.</w:t>
      </w:r>
    </w:p>
    <w:p w:rsidR="002E78D8" w:rsidRPr="0010603A" w:rsidRDefault="002E78D8" w:rsidP="002E78D8">
      <w:pPr>
        <w:pStyle w:val="Sangradetextonormal"/>
        <w:widowControl w:val="0"/>
        <w:suppressAutoHyphens/>
        <w:spacing w:after="0"/>
        <w:ind w:left="567"/>
        <w:jc w:val="both"/>
        <w:rPr>
          <w:rFonts w:ascii="Tahoma" w:hAnsi="Tahoma" w:cs="Tahoma"/>
          <w:sz w:val="22"/>
          <w:szCs w:val="22"/>
        </w:rPr>
      </w:pPr>
    </w:p>
    <w:p w:rsidR="002E78D8" w:rsidRDefault="002E78D8" w:rsidP="002E78D8">
      <w:pPr>
        <w:pStyle w:val="Sangradetextonormal"/>
        <w:widowControl w:val="0"/>
        <w:numPr>
          <w:ilvl w:val="0"/>
          <w:numId w:val="1"/>
        </w:numPr>
        <w:suppressAutoHyphens/>
        <w:spacing w:after="0"/>
        <w:ind w:left="567" w:hanging="567"/>
        <w:jc w:val="both"/>
        <w:rPr>
          <w:rFonts w:ascii="Tahoma" w:hAnsi="Tahoma" w:cs="Tahoma"/>
          <w:sz w:val="22"/>
          <w:szCs w:val="22"/>
        </w:rPr>
      </w:pPr>
      <w:r>
        <w:rPr>
          <w:rFonts w:ascii="Tahoma" w:hAnsi="Tahoma" w:cs="Tahoma"/>
          <w:sz w:val="22"/>
          <w:szCs w:val="22"/>
        </w:rPr>
        <w:t xml:space="preserve">Respecto a lo señalado anteriormente, se debe reiterar que </w:t>
      </w:r>
      <w:r w:rsidRPr="008D0C3C">
        <w:rPr>
          <w:rFonts w:ascii="Tahoma" w:hAnsi="Tahoma" w:cs="Tahoma"/>
          <w:sz w:val="22"/>
          <w:szCs w:val="22"/>
        </w:rPr>
        <w:t>las Bases constituyen las reglas del proceso de selección y es en función de ellas que debe efectuarse la calificación y evaluación de las propuestas, conforme a lo dispuesto en el artículo 26º de la Ley, la cual señala que lo establecido en las Bases, en la Ley y en el Reglamento, obliga a todos los postores y a la Entidad convocante.</w:t>
      </w:r>
      <w:r>
        <w:rPr>
          <w:rFonts w:ascii="Tahoma" w:hAnsi="Tahoma" w:cs="Tahoma"/>
          <w:sz w:val="22"/>
          <w:szCs w:val="22"/>
        </w:rPr>
        <w:t xml:space="preserve"> </w:t>
      </w:r>
      <w:r w:rsidRPr="008D0C3C">
        <w:rPr>
          <w:rFonts w:ascii="Tahoma" w:hAnsi="Tahoma" w:cs="Tahoma"/>
          <w:sz w:val="22"/>
          <w:szCs w:val="22"/>
        </w:rPr>
        <w:t>Asimismo, el artículo 61º del Reglamento, establece que para que una propuesta sea admitida deberá incluir, cumplir y, en su caso, acreditar la documentación de presentación obligatoria que se establezca en las Bases Administrativas y los requerimientos técnicos mínimos que constituyen las características técnicas, normas reglamentarias y cualquier otro requisito establecido como tal en las Bases y en las disposiciones legales que regulan el objeto materia de la contratación.</w:t>
      </w:r>
    </w:p>
    <w:p w:rsidR="002E78D8" w:rsidRDefault="002E78D8" w:rsidP="002E78D8">
      <w:pPr>
        <w:pStyle w:val="Sangradetextonormal"/>
        <w:widowControl w:val="0"/>
        <w:suppressAutoHyphens/>
        <w:spacing w:after="0"/>
        <w:ind w:left="567"/>
        <w:jc w:val="both"/>
        <w:rPr>
          <w:rFonts w:ascii="Tahoma" w:hAnsi="Tahoma" w:cs="Tahoma"/>
          <w:sz w:val="22"/>
          <w:szCs w:val="22"/>
        </w:rPr>
      </w:pPr>
    </w:p>
    <w:p w:rsidR="002E78D8" w:rsidRDefault="002E78D8" w:rsidP="002E78D8">
      <w:pPr>
        <w:pStyle w:val="Sangradetextonormal"/>
        <w:widowControl w:val="0"/>
        <w:numPr>
          <w:ilvl w:val="0"/>
          <w:numId w:val="1"/>
        </w:numPr>
        <w:suppressAutoHyphens/>
        <w:spacing w:after="0"/>
        <w:ind w:left="567" w:hanging="567"/>
        <w:jc w:val="both"/>
        <w:rPr>
          <w:rFonts w:ascii="Tahoma" w:hAnsi="Tahoma" w:cs="Tahoma"/>
          <w:sz w:val="22"/>
          <w:szCs w:val="22"/>
        </w:rPr>
      </w:pPr>
      <w:r>
        <w:rPr>
          <w:rFonts w:ascii="Tahoma" w:hAnsi="Tahoma" w:cs="Tahoma"/>
          <w:sz w:val="22"/>
          <w:szCs w:val="22"/>
        </w:rPr>
        <w:t>En tal sentido, en el capítulo IV de las Bases Administrativas, se describió las especificaciones técnicas del Sistema Para Diálisis Peritoneal Automatizada que está compuesto, entre otros, por el Componente 6 “Obturador”, el cual se señaló lo siguiente:</w:t>
      </w:r>
    </w:p>
    <w:p w:rsidR="002E78D8" w:rsidRDefault="002E78D8" w:rsidP="002E78D8">
      <w:pPr>
        <w:pStyle w:val="Prrafodelista"/>
        <w:rPr>
          <w:rFonts w:ascii="Tahoma" w:hAnsi="Tahoma" w:cs="Tahoma"/>
          <w:sz w:val="22"/>
          <w:szCs w:val="22"/>
        </w:rPr>
      </w:pPr>
    </w:p>
    <w:p w:rsidR="002E78D8" w:rsidRPr="00CC6CE4" w:rsidRDefault="002E78D8" w:rsidP="002E78D8">
      <w:pPr>
        <w:pStyle w:val="Sangradetextonormal"/>
        <w:widowControl w:val="0"/>
        <w:suppressAutoHyphens/>
        <w:spacing w:after="0"/>
        <w:ind w:left="2835"/>
        <w:jc w:val="both"/>
        <w:rPr>
          <w:rFonts w:ascii="Tahoma" w:hAnsi="Tahoma" w:cs="Tahoma"/>
          <w:i/>
          <w:sz w:val="18"/>
          <w:szCs w:val="18"/>
          <w:lang w:val="es-ES_tradnl"/>
        </w:rPr>
      </w:pPr>
      <w:r>
        <w:rPr>
          <w:rFonts w:ascii="Tahoma" w:hAnsi="Tahoma" w:cs="Tahoma"/>
          <w:i/>
          <w:sz w:val="18"/>
          <w:szCs w:val="18"/>
          <w:lang w:val="es-ES_tradnl"/>
        </w:rPr>
        <w:t>“</w:t>
      </w:r>
      <w:r w:rsidRPr="00CC6CE4">
        <w:rPr>
          <w:rFonts w:ascii="Tahoma" w:hAnsi="Tahoma" w:cs="Tahoma"/>
          <w:i/>
          <w:sz w:val="18"/>
          <w:szCs w:val="18"/>
          <w:lang w:val="es-ES_tradnl"/>
        </w:rPr>
        <w:t>Composición del producto: Componentes 4 y 6</w:t>
      </w:r>
    </w:p>
    <w:p w:rsidR="002E78D8" w:rsidRPr="00CC6CE4" w:rsidRDefault="002E78D8" w:rsidP="002E78D8">
      <w:pPr>
        <w:pStyle w:val="Sangradetextonormal"/>
        <w:widowControl w:val="0"/>
        <w:numPr>
          <w:ilvl w:val="0"/>
          <w:numId w:val="35"/>
        </w:numPr>
        <w:suppressAutoHyphens/>
        <w:spacing w:after="0"/>
        <w:ind w:left="2977" w:firstLine="0"/>
        <w:jc w:val="both"/>
        <w:rPr>
          <w:rFonts w:ascii="Tahoma" w:hAnsi="Tahoma" w:cs="Tahoma"/>
          <w:i/>
          <w:sz w:val="18"/>
          <w:szCs w:val="18"/>
          <w:lang w:val="es-ES_tradnl"/>
        </w:rPr>
      </w:pPr>
      <w:r w:rsidRPr="00CC6CE4">
        <w:rPr>
          <w:rFonts w:ascii="Tahoma" w:hAnsi="Tahoma" w:cs="Tahoma"/>
          <w:i/>
          <w:sz w:val="18"/>
          <w:szCs w:val="18"/>
          <w:lang w:val="es-ES_tradnl"/>
        </w:rPr>
        <w:t>Polímero de grado medico</w:t>
      </w:r>
    </w:p>
    <w:p w:rsidR="002E78D8" w:rsidRPr="00CC6CE4" w:rsidRDefault="002E78D8" w:rsidP="002E78D8">
      <w:pPr>
        <w:pStyle w:val="Sangradetextonormal"/>
        <w:widowControl w:val="0"/>
        <w:numPr>
          <w:ilvl w:val="0"/>
          <w:numId w:val="35"/>
        </w:numPr>
        <w:suppressAutoHyphens/>
        <w:spacing w:after="0"/>
        <w:ind w:left="2977" w:firstLine="0"/>
        <w:jc w:val="both"/>
        <w:rPr>
          <w:rFonts w:ascii="Tahoma" w:hAnsi="Tahoma" w:cs="Tahoma"/>
          <w:i/>
          <w:sz w:val="18"/>
          <w:szCs w:val="18"/>
          <w:lang w:val="es-ES_tradnl"/>
        </w:rPr>
      </w:pPr>
      <w:r w:rsidRPr="00CC6CE4">
        <w:rPr>
          <w:rFonts w:ascii="Tahoma" w:hAnsi="Tahoma" w:cs="Tahoma"/>
          <w:i/>
          <w:sz w:val="18"/>
          <w:szCs w:val="18"/>
          <w:lang w:val="es-ES_tradnl"/>
        </w:rPr>
        <w:t>Condici</w:t>
      </w:r>
      <w:r>
        <w:rPr>
          <w:rFonts w:ascii="Tahoma" w:hAnsi="Tahoma" w:cs="Tahoma"/>
          <w:i/>
          <w:sz w:val="18"/>
          <w:szCs w:val="18"/>
          <w:lang w:val="es-ES_tradnl"/>
        </w:rPr>
        <w:t>ón del Material: Esté</w:t>
      </w:r>
      <w:r w:rsidRPr="00CC6CE4">
        <w:rPr>
          <w:rFonts w:ascii="Tahoma" w:hAnsi="Tahoma" w:cs="Tahoma"/>
          <w:i/>
          <w:sz w:val="18"/>
          <w:szCs w:val="18"/>
          <w:lang w:val="es-ES_tradnl"/>
        </w:rPr>
        <w:t>ril</w:t>
      </w:r>
      <w:r>
        <w:rPr>
          <w:rFonts w:ascii="Tahoma" w:hAnsi="Tahoma" w:cs="Tahoma"/>
          <w:i/>
          <w:sz w:val="18"/>
          <w:szCs w:val="18"/>
          <w:lang w:val="es-ES_tradnl"/>
        </w:rPr>
        <w:t>”</w:t>
      </w:r>
    </w:p>
    <w:p w:rsidR="002E78D8" w:rsidRDefault="002E78D8" w:rsidP="002E78D8">
      <w:pPr>
        <w:pStyle w:val="Sangradetextonormal"/>
        <w:widowControl w:val="0"/>
        <w:suppressAutoHyphens/>
        <w:spacing w:after="0"/>
        <w:ind w:left="567"/>
        <w:jc w:val="both"/>
        <w:rPr>
          <w:rFonts w:ascii="Tahoma" w:hAnsi="Tahoma" w:cs="Tahoma"/>
          <w:sz w:val="22"/>
          <w:szCs w:val="22"/>
          <w:lang w:val="es-ES_tradnl"/>
        </w:rPr>
      </w:pPr>
    </w:p>
    <w:p w:rsidR="002E78D8" w:rsidRDefault="002E78D8" w:rsidP="002E78D8">
      <w:pPr>
        <w:pStyle w:val="Sangradetextonormal"/>
        <w:widowControl w:val="0"/>
        <w:numPr>
          <w:ilvl w:val="0"/>
          <w:numId w:val="1"/>
        </w:numPr>
        <w:suppressAutoHyphens/>
        <w:spacing w:after="0"/>
        <w:ind w:left="567" w:hanging="567"/>
        <w:jc w:val="both"/>
        <w:rPr>
          <w:rFonts w:ascii="Tahoma" w:hAnsi="Tahoma" w:cs="Tahoma"/>
          <w:sz w:val="22"/>
          <w:szCs w:val="22"/>
        </w:rPr>
      </w:pPr>
      <w:r>
        <w:rPr>
          <w:rFonts w:ascii="Tahoma" w:hAnsi="Tahoma" w:cs="Tahoma"/>
          <w:sz w:val="22"/>
          <w:szCs w:val="22"/>
        </w:rPr>
        <w:t>Asimismo, en el ANEXO Nº 06-A de las Bases Integradas, referido a las “Pruebas Mínimas para el Protocolo de Análisis” se estableció lo siguiente:</w:t>
      </w:r>
    </w:p>
    <w:p w:rsidR="002E78D8" w:rsidRDefault="002E78D8" w:rsidP="002E78D8">
      <w:pPr>
        <w:pStyle w:val="Sangradetextonormal"/>
        <w:widowControl w:val="0"/>
        <w:suppressAutoHyphens/>
        <w:spacing w:after="0"/>
        <w:ind w:left="567"/>
        <w:jc w:val="both"/>
        <w:rPr>
          <w:rFonts w:ascii="Tahoma" w:hAnsi="Tahoma" w:cs="Tahoma"/>
          <w:sz w:val="22"/>
          <w:szCs w:val="22"/>
        </w:rPr>
      </w:pPr>
    </w:p>
    <w:p w:rsidR="002E78D8" w:rsidRPr="005A5FE4" w:rsidRDefault="002E78D8" w:rsidP="002E78D8">
      <w:pPr>
        <w:pStyle w:val="Sangradetextonormal"/>
        <w:widowControl w:val="0"/>
        <w:suppressAutoHyphens/>
        <w:spacing w:after="0"/>
        <w:ind w:left="567"/>
        <w:jc w:val="both"/>
        <w:rPr>
          <w:rFonts w:ascii="Tahoma" w:hAnsi="Tahoma" w:cs="Tahoma"/>
          <w:i/>
          <w:sz w:val="18"/>
          <w:szCs w:val="18"/>
        </w:rPr>
      </w:pPr>
      <w:r w:rsidRPr="005A5FE4">
        <w:rPr>
          <w:rFonts w:ascii="Tahoma" w:hAnsi="Tahoma" w:cs="Tahoma"/>
          <w:i/>
          <w:sz w:val="18"/>
          <w:szCs w:val="18"/>
        </w:rPr>
        <w:t>“Los protocolos de análisis a presentar para los componentes del sistema referidos a Prolongador de Línea para Diálisis Peritoneal y Obturador de Plástico para Prolongador, deben tener como mínimo las siguientes pruebas:</w:t>
      </w:r>
    </w:p>
    <w:p w:rsidR="002E78D8" w:rsidRPr="005A5FE4" w:rsidRDefault="002E78D8" w:rsidP="002E78D8">
      <w:pPr>
        <w:pStyle w:val="Sangradetextonormal"/>
        <w:widowControl w:val="0"/>
        <w:suppressAutoHyphens/>
        <w:spacing w:after="0"/>
        <w:ind w:left="567"/>
        <w:jc w:val="both"/>
        <w:rPr>
          <w:rFonts w:ascii="Tahoma" w:hAnsi="Tahoma" w:cs="Tahoma"/>
          <w:i/>
          <w:sz w:val="18"/>
          <w:szCs w:val="18"/>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36"/>
        <w:gridCol w:w="3510"/>
      </w:tblGrid>
      <w:tr w:rsidR="002E78D8" w:rsidRPr="005A5FE4" w:rsidTr="00D01115">
        <w:tc>
          <w:tcPr>
            <w:tcW w:w="4536" w:type="dxa"/>
            <w:shd w:val="clear" w:color="auto" w:fill="7F7F7F"/>
          </w:tcPr>
          <w:p w:rsidR="002E78D8" w:rsidRPr="00D01115" w:rsidRDefault="002E78D8" w:rsidP="00D01115">
            <w:pPr>
              <w:pStyle w:val="Sangradetextonormal"/>
              <w:widowControl w:val="0"/>
              <w:suppressAutoHyphens/>
              <w:spacing w:after="0"/>
              <w:ind w:left="0"/>
              <w:jc w:val="center"/>
              <w:rPr>
                <w:rFonts w:ascii="Tahoma" w:hAnsi="Tahoma" w:cs="Tahoma"/>
                <w:i/>
                <w:sz w:val="18"/>
                <w:szCs w:val="18"/>
              </w:rPr>
            </w:pPr>
            <w:r w:rsidRPr="00D01115">
              <w:rPr>
                <w:rFonts w:ascii="Tahoma" w:hAnsi="Tahoma" w:cs="Tahoma"/>
                <w:i/>
                <w:sz w:val="18"/>
                <w:szCs w:val="18"/>
              </w:rPr>
              <w:t>COMPONENTE</w:t>
            </w:r>
          </w:p>
        </w:tc>
        <w:tc>
          <w:tcPr>
            <w:tcW w:w="3510" w:type="dxa"/>
            <w:shd w:val="clear" w:color="auto" w:fill="7F7F7F"/>
          </w:tcPr>
          <w:p w:rsidR="002E78D8" w:rsidRPr="00D01115" w:rsidRDefault="002E78D8" w:rsidP="00D01115">
            <w:pPr>
              <w:pStyle w:val="Sangradetextonormal"/>
              <w:widowControl w:val="0"/>
              <w:suppressAutoHyphens/>
              <w:spacing w:after="0"/>
              <w:ind w:left="0"/>
              <w:jc w:val="center"/>
              <w:rPr>
                <w:rFonts w:ascii="Tahoma" w:hAnsi="Tahoma" w:cs="Tahoma"/>
                <w:i/>
                <w:sz w:val="18"/>
                <w:szCs w:val="18"/>
              </w:rPr>
            </w:pPr>
            <w:r w:rsidRPr="00D01115">
              <w:rPr>
                <w:rFonts w:ascii="Tahoma" w:hAnsi="Tahoma" w:cs="Tahoma"/>
                <w:i/>
                <w:sz w:val="18"/>
                <w:szCs w:val="18"/>
              </w:rPr>
              <w:t>PRUEBA MINIMA</w:t>
            </w:r>
          </w:p>
        </w:tc>
      </w:tr>
      <w:tr w:rsidR="002E78D8" w:rsidRPr="005A5FE4" w:rsidTr="00D01115">
        <w:tc>
          <w:tcPr>
            <w:tcW w:w="4536" w:type="dxa"/>
          </w:tcPr>
          <w:p w:rsidR="002E78D8" w:rsidRPr="00D01115" w:rsidRDefault="002E78D8" w:rsidP="00D01115">
            <w:pPr>
              <w:pStyle w:val="Sangradetextonormal"/>
              <w:widowControl w:val="0"/>
              <w:numPr>
                <w:ilvl w:val="0"/>
                <w:numId w:val="36"/>
              </w:numPr>
              <w:suppressAutoHyphens/>
              <w:spacing w:after="0"/>
              <w:ind w:left="318" w:hanging="284"/>
              <w:jc w:val="both"/>
              <w:rPr>
                <w:rFonts w:ascii="Tahoma" w:hAnsi="Tahoma" w:cs="Tahoma"/>
                <w:i/>
                <w:sz w:val="18"/>
                <w:szCs w:val="18"/>
              </w:rPr>
            </w:pPr>
            <w:r w:rsidRPr="00D01115">
              <w:rPr>
                <w:rFonts w:ascii="Tahoma" w:hAnsi="Tahoma" w:cs="Tahoma"/>
                <w:i/>
                <w:sz w:val="18"/>
                <w:szCs w:val="18"/>
              </w:rPr>
              <w:t>OBTURADOR DE PLASTICO PARA PROLONGADOR</w:t>
            </w:r>
          </w:p>
        </w:tc>
        <w:tc>
          <w:tcPr>
            <w:tcW w:w="3510" w:type="dxa"/>
          </w:tcPr>
          <w:p w:rsidR="002E78D8" w:rsidRPr="00D01115" w:rsidRDefault="002E78D8" w:rsidP="00D01115">
            <w:pPr>
              <w:pStyle w:val="Sangradetextonormal"/>
              <w:widowControl w:val="0"/>
              <w:suppressAutoHyphens/>
              <w:spacing w:after="0"/>
              <w:ind w:left="0"/>
              <w:jc w:val="both"/>
              <w:rPr>
                <w:rFonts w:ascii="Tahoma" w:hAnsi="Tahoma" w:cs="Tahoma"/>
                <w:i/>
                <w:sz w:val="18"/>
                <w:szCs w:val="18"/>
              </w:rPr>
            </w:pPr>
            <w:r w:rsidRPr="00D01115">
              <w:rPr>
                <w:rFonts w:ascii="Tahoma" w:hAnsi="Tahoma" w:cs="Tahoma"/>
                <w:i/>
                <w:sz w:val="18"/>
                <w:szCs w:val="18"/>
              </w:rPr>
              <w:t>CARACTERES FISICOS Y ESTERILIDAD</w:t>
            </w:r>
          </w:p>
        </w:tc>
      </w:tr>
      <w:tr w:rsidR="002E78D8" w:rsidRPr="005A5FE4" w:rsidTr="00D01115">
        <w:tc>
          <w:tcPr>
            <w:tcW w:w="4536" w:type="dxa"/>
          </w:tcPr>
          <w:p w:rsidR="002E78D8" w:rsidRPr="00D01115" w:rsidRDefault="002E78D8" w:rsidP="00D01115">
            <w:pPr>
              <w:pStyle w:val="Sangradetextonormal"/>
              <w:widowControl w:val="0"/>
              <w:numPr>
                <w:ilvl w:val="0"/>
                <w:numId w:val="36"/>
              </w:numPr>
              <w:suppressAutoHyphens/>
              <w:spacing w:after="0"/>
              <w:ind w:left="318" w:hanging="284"/>
              <w:jc w:val="both"/>
              <w:rPr>
                <w:rFonts w:ascii="Tahoma" w:hAnsi="Tahoma" w:cs="Tahoma"/>
                <w:i/>
                <w:sz w:val="18"/>
                <w:szCs w:val="18"/>
              </w:rPr>
            </w:pPr>
            <w:r w:rsidRPr="00D01115">
              <w:rPr>
                <w:rFonts w:ascii="Tahoma" w:hAnsi="Tahoma" w:cs="Tahoma"/>
                <w:i/>
                <w:sz w:val="18"/>
                <w:szCs w:val="18"/>
              </w:rPr>
              <w:t>SET DE TUBULADURA CASSETTES</w:t>
            </w:r>
          </w:p>
        </w:tc>
        <w:tc>
          <w:tcPr>
            <w:tcW w:w="3510" w:type="dxa"/>
          </w:tcPr>
          <w:p w:rsidR="002E78D8" w:rsidRPr="00D01115" w:rsidRDefault="002E78D8" w:rsidP="00D01115">
            <w:pPr>
              <w:pStyle w:val="Sangradetextonormal"/>
              <w:widowControl w:val="0"/>
              <w:suppressAutoHyphens/>
              <w:spacing w:after="0"/>
              <w:ind w:left="0"/>
              <w:jc w:val="both"/>
              <w:rPr>
                <w:rFonts w:ascii="Tahoma" w:hAnsi="Tahoma" w:cs="Tahoma"/>
                <w:i/>
                <w:sz w:val="18"/>
                <w:szCs w:val="18"/>
              </w:rPr>
            </w:pPr>
            <w:r w:rsidRPr="00D01115">
              <w:rPr>
                <w:rFonts w:ascii="Tahoma" w:hAnsi="Tahoma" w:cs="Tahoma"/>
                <w:i/>
                <w:sz w:val="18"/>
                <w:szCs w:val="18"/>
              </w:rPr>
              <w:t>CARACTERES FISICOS Y ESTERILIDAD</w:t>
            </w:r>
          </w:p>
        </w:tc>
      </w:tr>
      <w:tr w:rsidR="002E78D8" w:rsidRPr="005A5FE4" w:rsidTr="00D01115">
        <w:tc>
          <w:tcPr>
            <w:tcW w:w="4536" w:type="dxa"/>
          </w:tcPr>
          <w:p w:rsidR="002E78D8" w:rsidRPr="00D01115" w:rsidRDefault="002E78D8" w:rsidP="00D01115">
            <w:pPr>
              <w:pStyle w:val="Sangradetextonormal"/>
              <w:widowControl w:val="0"/>
              <w:numPr>
                <w:ilvl w:val="0"/>
                <w:numId w:val="36"/>
              </w:numPr>
              <w:suppressAutoHyphens/>
              <w:spacing w:after="0"/>
              <w:ind w:left="318" w:hanging="284"/>
              <w:jc w:val="both"/>
              <w:rPr>
                <w:rFonts w:ascii="Tahoma" w:hAnsi="Tahoma" w:cs="Tahoma"/>
                <w:i/>
                <w:sz w:val="18"/>
                <w:szCs w:val="18"/>
              </w:rPr>
            </w:pPr>
            <w:r w:rsidRPr="00D01115">
              <w:rPr>
                <w:rFonts w:ascii="Tahoma" w:hAnsi="Tahoma" w:cs="Tahoma"/>
                <w:i/>
                <w:sz w:val="18"/>
                <w:szCs w:val="18"/>
              </w:rPr>
              <w:t>LINEAS DE DRENAJE</w:t>
            </w:r>
          </w:p>
        </w:tc>
        <w:tc>
          <w:tcPr>
            <w:tcW w:w="3510" w:type="dxa"/>
          </w:tcPr>
          <w:p w:rsidR="002E78D8" w:rsidRPr="00D01115" w:rsidRDefault="002E78D8" w:rsidP="00D01115">
            <w:pPr>
              <w:pStyle w:val="Sangradetextonormal"/>
              <w:widowControl w:val="0"/>
              <w:suppressAutoHyphens/>
              <w:spacing w:after="0"/>
              <w:ind w:left="0"/>
              <w:jc w:val="both"/>
              <w:rPr>
                <w:rFonts w:ascii="Tahoma" w:hAnsi="Tahoma" w:cs="Tahoma"/>
                <w:i/>
                <w:sz w:val="18"/>
                <w:szCs w:val="18"/>
              </w:rPr>
            </w:pPr>
            <w:r w:rsidRPr="00D01115">
              <w:rPr>
                <w:rFonts w:ascii="Tahoma" w:hAnsi="Tahoma" w:cs="Tahoma"/>
                <w:i/>
                <w:sz w:val="18"/>
                <w:szCs w:val="18"/>
              </w:rPr>
              <w:t>CARACTERES FISICOS Y ESTERILIDAD</w:t>
            </w:r>
          </w:p>
        </w:tc>
      </w:tr>
      <w:tr w:rsidR="002E78D8" w:rsidRPr="005A5FE4" w:rsidTr="00D01115">
        <w:tc>
          <w:tcPr>
            <w:tcW w:w="4536" w:type="dxa"/>
          </w:tcPr>
          <w:p w:rsidR="002E78D8" w:rsidRPr="00D01115" w:rsidRDefault="002E78D8" w:rsidP="00D01115">
            <w:pPr>
              <w:pStyle w:val="Sangradetextonormal"/>
              <w:widowControl w:val="0"/>
              <w:numPr>
                <w:ilvl w:val="0"/>
                <w:numId w:val="36"/>
              </w:numPr>
              <w:suppressAutoHyphens/>
              <w:spacing w:after="0"/>
              <w:ind w:left="318" w:hanging="284"/>
              <w:jc w:val="both"/>
              <w:rPr>
                <w:rFonts w:ascii="Tahoma" w:hAnsi="Tahoma" w:cs="Tahoma"/>
                <w:i/>
                <w:sz w:val="18"/>
                <w:szCs w:val="18"/>
              </w:rPr>
            </w:pPr>
            <w:r w:rsidRPr="00D01115">
              <w:rPr>
                <w:rFonts w:ascii="Tahoma" w:hAnsi="Tahoma" w:cs="Tahoma"/>
                <w:i/>
                <w:sz w:val="18"/>
                <w:szCs w:val="18"/>
              </w:rPr>
              <w:t>PROLONGADOR DE LINEA PARA DIALISIS PERITONEAL</w:t>
            </w:r>
          </w:p>
        </w:tc>
        <w:tc>
          <w:tcPr>
            <w:tcW w:w="3510" w:type="dxa"/>
          </w:tcPr>
          <w:p w:rsidR="002E78D8" w:rsidRPr="00D01115" w:rsidRDefault="002E78D8" w:rsidP="00D01115">
            <w:pPr>
              <w:pStyle w:val="Sangradetextonormal"/>
              <w:widowControl w:val="0"/>
              <w:suppressAutoHyphens/>
              <w:spacing w:after="0"/>
              <w:ind w:left="0"/>
              <w:jc w:val="both"/>
              <w:rPr>
                <w:rFonts w:ascii="Tahoma" w:hAnsi="Tahoma" w:cs="Tahoma"/>
                <w:i/>
                <w:sz w:val="18"/>
                <w:szCs w:val="18"/>
              </w:rPr>
            </w:pPr>
            <w:r w:rsidRPr="00D01115">
              <w:rPr>
                <w:rFonts w:ascii="Tahoma" w:hAnsi="Tahoma" w:cs="Tahoma"/>
                <w:i/>
                <w:sz w:val="18"/>
                <w:szCs w:val="18"/>
              </w:rPr>
              <w:t>CARACTERES FISICOS Y ESTERILIDAD</w:t>
            </w:r>
          </w:p>
        </w:tc>
      </w:tr>
    </w:tbl>
    <w:p w:rsidR="002E78D8" w:rsidRDefault="002E78D8" w:rsidP="002E78D8">
      <w:pPr>
        <w:pStyle w:val="Sangradetextonormal"/>
        <w:widowControl w:val="0"/>
        <w:suppressAutoHyphens/>
        <w:spacing w:after="0"/>
        <w:ind w:left="567"/>
        <w:jc w:val="both"/>
        <w:rPr>
          <w:rFonts w:ascii="Tahoma" w:hAnsi="Tahoma" w:cs="Tahoma"/>
          <w:sz w:val="22"/>
          <w:szCs w:val="22"/>
        </w:rPr>
      </w:pPr>
    </w:p>
    <w:p w:rsidR="002E78D8" w:rsidRDefault="002E78D8" w:rsidP="002E78D8">
      <w:pPr>
        <w:pStyle w:val="Sangradetextonormal"/>
        <w:widowControl w:val="0"/>
        <w:numPr>
          <w:ilvl w:val="0"/>
          <w:numId w:val="1"/>
        </w:numPr>
        <w:suppressAutoHyphens/>
        <w:spacing w:after="0"/>
        <w:ind w:left="567" w:hanging="567"/>
        <w:jc w:val="both"/>
        <w:rPr>
          <w:rFonts w:ascii="Tahoma" w:hAnsi="Tahoma" w:cs="Tahoma"/>
          <w:sz w:val="22"/>
          <w:szCs w:val="22"/>
        </w:rPr>
      </w:pPr>
      <w:r>
        <w:rPr>
          <w:rFonts w:ascii="Tahoma" w:hAnsi="Tahoma" w:cs="Tahoma"/>
          <w:sz w:val="22"/>
          <w:szCs w:val="22"/>
        </w:rPr>
        <w:t>Nótese entonces, que las Bases Integradas expresamente requirieron que respecto al componente Nº 06 “Obturador”, se debía acreditar su condición de material “estéril”, debiendo presentar para ello, el Protocolo de Análisis que contenga como mínimo las pruebas de carácter físico y esterilidad de dicho componente.</w:t>
      </w:r>
    </w:p>
    <w:p w:rsidR="002E78D8" w:rsidRDefault="002E78D8" w:rsidP="002E78D8">
      <w:pPr>
        <w:pStyle w:val="Sangradetextonormal"/>
        <w:widowControl w:val="0"/>
        <w:suppressAutoHyphens/>
        <w:spacing w:after="0"/>
        <w:ind w:left="567"/>
        <w:jc w:val="both"/>
        <w:rPr>
          <w:rFonts w:ascii="Tahoma" w:hAnsi="Tahoma" w:cs="Tahoma"/>
          <w:sz w:val="22"/>
          <w:szCs w:val="22"/>
        </w:rPr>
      </w:pPr>
    </w:p>
    <w:p w:rsidR="002E78D8" w:rsidRDefault="002E78D8" w:rsidP="002E78D8">
      <w:pPr>
        <w:pStyle w:val="Sangradetextonormal"/>
        <w:widowControl w:val="0"/>
        <w:numPr>
          <w:ilvl w:val="0"/>
          <w:numId w:val="1"/>
        </w:numPr>
        <w:suppressAutoHyphens/>
        <w:spacing w:after="0"/>
        <w:ind w:left="567" w:hanging="567"/>
        <w:jc w:val="both"/>
        <w:rPr>
          <w:rFonts w:ascii="Tahoma" w:hAnsi="Tahoma" w:cs="Tahoma"/>
          <w:sz w:val="22"/>
          <w:szCs w:val="22"/>
        </w:rPr>
      </w:pPr>
      <w:r>
        <w:rPr>
          <w:rFonts w:ascii="Tahoma" w:hAnsi="Tahoma" w:cs="Tahoma"/>
          <w:sz w:val="22"/>
          <w:szCs w:val="22"/>
        </w:rPr>
        <w:t xml:space="preserve">Ahora bien, el Adjudicatario presentó a fojas 28 de su propuesta técnica, el Anexo Nº 06 referido a la “DECLARACIÓN JURADA DE PRESENTACION DEL </w:t>
      </w:r>
      <w:r>
        <w:rPr>
          <w:rFonts w:ascii="Tahoma" w:hAnsi="Tahoma" w:cs="Tahoma"/>
          <w:sz w:val="22"/>
          <w:szCs w:val="22"/>
        </w:rPr>
        <w:lastRenderedPageBreak/>
        <w:t>PRODUCTO, COMPROMISO DE PLAZO DE ENTRE Y VIGENCIA”, en el cual consignó, entre otros, que el Método de Esterilización del obturador ofertado “NO APLICA”.</w:t>
      </w:r>
    </w:p>
    <w:p w:rsidR="002E78D8" w:rsidRDefault="002E78D8" w:rsidP="002E78D8">
      <w:pPr>
        <w:pStyle w:val="Prrafodelista"/>
        <w:rPr>
          <w:rFonts w:ascii="Tahoma" w:hAnsi="Tahoma" w:cs="Tahoma"/>
          <w:sz w:val="22"/>
          <w:szCs w:val="22"/>
        </w:rPr>
      </w:pPr>
    </w:p>
    <w:p w:rsidR="002E78D8" w:rsidRDefault="002E78D8" w:rsidP="002E78D8">
      <w:pPr>
        <w:pStyle w:val="Prrafodelista"/>
        <w:rPr>
          <w:rFonts w:ascii="Tahoma" w:hAnsi="Tahoma" w:cs="Tahoma"/>
          <w:sz w:val="22"/>
          <w:szCs w:val="22"/>
        </w:rPr>
      </w:pPr>
    </w:p>
    <w:p w:rsidR="002E78D8" w:rsidRDefault="002E78D8" w:rsidP="002E78D8">
      <w:pPr>
        <w:pStyle w:val="Prrafodelista"/>
        <w:rPr>
          <w:rFonts w:ascii="Tahoma" w:hAnsi="Tahoma" w:cs="Tahoma"/>
          <w:sz w:val="22"/>
          <w:szCs w:val="22"/>
        </w:rPr>
      </w:pPr>
    </w:p>
    <w:p w:rsidR="002E78D8" w:rsidRDefault="002E78D8" w:rsidP="002E78D8">
      <w:pPr>
        <w:pStyle w:val="Sangradetextonormal"/>
        <w:widowControl w:val="0"/>
        <w:numPr>
          <w:ilvl w:val="0"/>
          <w:numId w:val="1"/>
        </w:numPr>
        <w:suppressAutoHyphens/>
        <w:spacing w:after="0"/>
        <w:ind w:left="567" w:hanging="567"/>
        <w:jc w:val="both"/>
        <w:rPr>
          <w:rFonts w:ascii="Tahoma" w:hAnsi="Tahoma" w:cs="Tahoma"/>
          <w:sz w:val="22"/>
          <w:szCs w:val="22"/>
        </w:rPr>
      </w:pPr>
      <w:r w:rsidRPr="00A5324A">
        <w:rPr>
          <w:rFonts w:ascii="Tahoma" w:hAnsi="Tahoma" w:cs="Tahoma"/>
          <w:sz w:val="22"/>
          <w:szCs w:val="22"/>
        </w:rPr>
        <w:t>Asimismo, obra a fojas 29 al 31 de la propuesta técnica del Adjudicatario, la descripción de las especificaciones técnicas del Obturador de Plástico para Prolongador, en el cual se señaló lo siguiente:</w:t>
      </w:r>
    </w:p>
    <w:p w:rsidR="002E78D8" w:rsidRDefault="002E78D8" w:rsidP="002E78D8">
      <w:pPr>
        <w:pStyle w:val="Sangradetextonormal"/>
        <w:widowControl w:val="0"/>
        <w:suppressAutoHyphens/>
        <w:spacing w:after="0"/>
        <w:ind w:left="0"/>
        <w:jc w:val="both"/>
        <w:rPr>
          <w:rFonts w:ascii="Tahoma" w:hAnsi="Tahoma" w:cs="Tahoma"/>
          <w:sz w:val="22"/>
          <w:szCs w:val="22"/>
        </w:rPr>
      </w:pPr>
    </w:p>
    <w:p w:rsidR="002E78D8" w:rsidRDefault="002E78D8" w:rsidP="002E78D8">
      <w:pPr>
        <w:pStyle w:val="Sangradetextonormal"/>
        <w:widowControl w:val="0"/>
        <w:suppressAutoHyphens/>
        <w:spacing w:after="0"/>
        <w:ind w:left="0"/>
        <w:jc w:val="both"/>
        <w:rPr>
          <w:rFonts w:ascii="Tahoma" w:hAnsi="Tahoma" w:cs="Tahoma"/>
          <w:sz w:val="22"/>
          <w:szCs w:val="22"/>
        </w:rPr>
      </w:pPr>
    </w:p>
    <w:p w:rsidR="002E78D8" w:rsidRPr="00A5324A" w:rsidRDefault="002E78D8" w:rsidP="002E78D8">
      <w:pPr>
        <w:pStyle w:val="Sangradetextonormal"/>
        <w:widowControl w:val="0"/>
        <w:suppressAutoHyphens/>
        <w:spacing w:after="0"/>
        <w:ind w:left="2694"/>
        <w:jc w:val="both"/>
        <w:rPr>
          <w:rFonts w:ascii="Tahoma" w:hAnsi="Tahoma" w:cs="Tahoma"/>
          <w:i/>
          <w:sz w:val="18"/>
          <w:szCs w:val="18"/>
        </w:rPr>
      </w:pPr>
      <w:r w:rsidRPr="00A5324A">
        <w:rPr>
          <w:rFonts w:ascii="Tahoma" w:hAnsi="Tahoma" w:cs="Tahoma"/>
          <w:i/>
          <w:sz w:val="18"/>
          <w:szCs w:val="18"/>
        </w:rPr>
        <w:t>“2. Condiciones Biológicas</w:t>
      </w:r>
    </w:p>
    <w:p w:rsidR="002E78D8" w:rsidRPr="00A5324A" w:rsidRDefault="002E78D8" w:rsidP="002E78D8">
      <w:pPr>
        <w:pStyle w:val="Sangradetextonormal"/>
        <w:widowControl w:val="0"/>
        <w:suppressAutoHyphens/>
        <w:spacing w:after="0"/>
        <w:ind w:left="2694"/>
        <w:jc w:val="both"/>
        <w:rPr>
          <w:rFonts w:ascii="Tahoma" w:hAnsi="Tahoma" w:cs="Tahoma"/>
          <w:i/>
          <w:sz w:val="18"/>
          <w:szCs w:val="18"/>
        </w:rPr>
      </w:pPr>
      <w:r w:rsidRPr="00A5324A">
        <w:rPr>
          <w:rFonts w:ascii="Tahoma" w:hAnsi="Tahoma" w:cs="Tahoma"/>
          <w:i/>
          <w:sz w:val="18"/>
          <w:szCs w:val="18"/>
        </w:rPr>
        <w:t>2.1 Estéril: Método de esterilización Oxido de Etileno</w:t>
      </w:r>
    </w:p>
    <w:p w:rsidR="002E78D8" w:rsidRPr="00A5324A" w:rsidRDefault="002E78D8" w:rsidP="002E78D8">
      <w:pPr>
        <w:pStyle w:val="Sangradetextonormal"/>
        <w:widowControl w:val="0"/>
        <w:suppressAutoHyphens/>
        <w:spacing w:after="0"/>
        <w:ind w:left="2694"/>
        <w:jc w:val="both"/>
        <w:rPr>
          <w:rFonts w:ascii="Tahoma" w:hAnsi="Tahoma" w:cs="Tahoma"/>
          <w:i/>
          <w:sz w:val="18"/>
          <w:szCs w:val="18"/>
        </w:rPr>
      </w:pPr>
      <w:r w:rsidRPr="00A5324A">
        <w:rPr>
          <w:rFonts w:ascii="Tahoma" w:hAnsi="Tahoma" w:cs="Tahoma"/>
          <w:i/>
          <w:sz w:val="18"/>
          <w:szCs w:val="18"/>
        </w:rPr>
        <w:t>2.2 Atoxico</w:t>
      </w:r>
    </w:p>
    <w:p w:rsidR="002E78D8" w:rsidRPr="00A5324A" w:rsidRDefault="002E78D8" w:rsidP="002E78D8">
      <w:pPr>
        <w:pStyle w:val="Sangradetextonormal"/>
        <w:widowControl w:val="0"/>
        <w:suppressAutoHyphens/>
        <w:spacing w:after="0"/>
        <w:ind w:left="2694"/>
        <w:jc w:val="both"/>
        <w:rPr>
          <w:rFonts w:ascii="Tahoma" w:hAnsi="Tahoma" w:cs="Tahoma"/>
          <w:i/>
          <w:sz w:val="18"/>
          <w:szCs w:val="18"/>
        </w:rPr>
      </w:pPr>
      <w:r w:rsidRPr="00A5324A">
        <w:rPr>
          <w:rFonts w:ascii="Tahoma" w:hAnsi="Tahoma" w:cs="Tahoma"/>
          <w:i/>
          <w:sz w:val="18"/>
          <w:szCs w:val="18"/>
        </w:rPr>
        <w:t>2.3 Apirógeno”</w:t>
      </w:r>
    </w:p>
    <w:p w:rsidR="002E78D8" w:rsidRDefault="002E78D8" w:rsidP="002E78D8">
      <w:pPr>
        <w:pStyle w:val="Prrafodelista"/>
        <w:rPr>
          <w:rFonts w:ascii="Tahoma" w:hAnsi="Tahoma" w:cs="Tahoma"/>
          <w:sz w:val="22"/>
          <w:szCs w:val="22"/>
        </w:rPr>
      </w:pPr>
    </w:p>
    <w:p w:rsidR="002E78D8" w:rsidRPr="007D5803" w:rsidRDefault="002E78D8" w:rsidP="002E78D8">
      <w:pPr>
        <w:pStyle w:val="Prrafodelista"/>
        <w:rPr>
          <w:rFonts w:ascii="Tahoma" w:hAnsi="Tahoma" w:cs="Tahoma"/>
          <w:sz w:val="22"/>
          <w:szCs w:val="22"/>
        </w:rPr>
      </w:pPr>
    </w:p>
    <w:p w:rsidR="002E78D8" w:rsidRDefault="002E78D8" w:rsidP="002E78D8">
      <w:pPr>
        <w:pStyle w:val="Sangradetextonormal"/>
        <w:widowControl w:val="0"/>
        <w:numPr>
          <w:ilvl w:val="0"/>
          <w:numId w:val="1"/>
        </w:numPr>
        <w:suppressAutoHyphens/>
        <w:spacing w:after="0"/>
        <w:ind w:left="567" w:hanging="567"/>
        <w:jc w:val="both"/>
        <w:rPr>
          <w:rFonts w:ascii="Tahoma" w:hAnsi="Tahoma" w:cs="Tahoma"/>
          <w:sz w:val="22"/>
          <w:szCs w:val="22"/>
        </w:rPr>
      </w:pPr>
      <w:r>
        <w:rPr>
          <w:rFonts w:ascii="Tahoma" w:hAnsi="Tahoma" w:cs="Tahoma"/>
          <w:sz w:val="22"/>
          <w:szCs w:val="22"/>
        </w:rPr>
        <w:t xml:space="preserve">Así también, obra a fojas 89 al 90 </w:t>
      </w:r>
      <w:r w:rsidRPr="00A5324A">
        <w:rPr>
          <w:rFonts w:ascii="Tahoma" w:hAnsi="Tahoma" w:cs="Tahoma"/>
          <w:sz w:val="22"/>
          <w:szCs w:val="22"/>
        </w:rPr>
        <w:t>de la propuesta técnica del Adjudicatario</w:t>
      </w:r>
      <w:r>
        <w:rPr>
          <w:rFonts w:ascii="Tahoma" w:hAnsi="Tahoma" w:cs="Tahoma"/>
          <w:sz w:val="22"/>
          <w:szCs w:val="22"/>
        </w:rPr>
        <w:t>, la traducción del INFORME DE ENSAYO (CERTIFICADO DE ANÁLISIS) del producto denominado Tapón de desinfección stay safe, en el cual se consignó, entre otros, lo siguiente:</w:t>
      </w:r>
    </w:p>
    <w:p w:rsidR="002E78D8" w:rsidRDefault="002E78D8" w:rsidP="002E78D8">
      <w:pPr>
        <w:pStyle w:val="Sangradetextonormal"/>
        <w:widowControl w:val="0"/>
        <w:suppressAutoHyphens/>
        <w:spacing w:after="0"/>
        <w:ind w:left="567"/>
        <w:jc w:val="both"/>
        <w:rPr>
          <w:rFonts w:ascii="Tahoma" w:hAnsi="Tahoma" w:cs="Tahoma"/>
          <w:sz w:val="22"/>
          <w:szCs w:val="22"/>
        </w:rPr>
      </w:pPr>
    </w:p>
    <w:p w:rsidR="002E78D8" w:rsidRDefault="002E78D8" w:rsidP="002E78D8">
      <w:pPr>
        <w:pStyle w:val="Sangradetextonormal"/>
        <w:widowControl w:val="0"/>
        <w:suppressAutoHyphens/>
        <w:spacing w:after="0"/>
        <w:ind w:left="567"/>
        <w:jc w:val="both"/>
        <w:rPr>
          <w:rFonts w:ascii="Tahoma" w:hAnsi="Tahoma" w:cs="Tahoma"/>
          <w:sz w:val="22"/>
          <w:szCs w:val="22"/>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77"/>
        <w:gridCol w:w="1559"/>
        <w:gridCol w:w="2127"/>
        <w:gridCol w:w="1383"/>
      </w:tblGrid>
      <w:tr w:rsidR="002E78D8" w:rsidTr="00D01115">
        <w:tc>
          <w:tcPr>
            <w:tcW w:w="2977" w:type="dxa"/>
          </w:tcPr>
          <w:p w:rsidR="002E78D8" w:rsidRPr="00D01115" w:rsidRDefault="002E78D8" w:rsidP="00D01115">
            <w:pPr>
              <w:pStyle w:val="Sangradetextonormal"/>
              <w:widowControl w:val="0"/>
              <w:suppressAutoHyphens/>
              <w:spacing w:after="0"/>
              <w:ind w:left="0"/>
              <w:jc w:val="both"/>
              <w:rPr>
                <w:rFonts w:ascii="Tahoma" w:hAnsi="Tahoma" w:cs="Tahoma"/>
                <w:sz w:val="18"/>
                <w:szCs w:val="18"/>
              </w:rPr>
            </w:pPr>
            <w:r w:rsidRPr="00D01115">
              <w:rPr>
                <w:rFonts w:ascii="Tahoma" w:hAnsi="Tahoma" w:cs="Tahoma"/>
                <w:sz w:val="18"/>
                <w:szCs w:val="18"/>
              </w:rPr>
              <w:t>Calidad microbiológica del desinfectante</w:t>
            </w:r>
          </w:p>
        </w:tc>
        <w:tc>
          <w:tcPr>
            <w:tcW w:w="1559" w:type="dxa"/>
          </w:tcPr>
          <w:p w:rsidR="002E78D8" w:rsidRPr="00D01115" w:rsidRDefault="002E78D8" w:rsidP="00D01115">
            <w:pPr>
              <w:pStyle w:val="Sangradetextonormal"/>
              <w:widowControl w:val="0"/>
              <w:suppressAutoHyphens/>
              <w:spacing w:after="0"/>
              <w:ind w:left="0"/>
              <w:jc w:val="both"/>
              <w:rPr>
                <w:rFonts w:ascii="Tahoma" w:hAnsi="Tahoma" w:cs="Tahoma"/>
                <w:sz w:val="18"/>
                <w:szCs w:val="18"/>
              </w:rPr>
            </w:pPr>
            <w:r w:rsidRPr="00D01115">
              <w:rPr>
                <w:rFonts w:ascii="Tahoma" w:hAnsi="Tahoma" w:cs="Tahoma"/>
                <w:sz w:val="18"/>
                <w:szCs w:val="18"/>
              </w:rPr>
              <w:t>0</w:t>
            </w:r>
          </w:p>
        </w:tc>
        <w:tc>
          <w:tcPr>
            <w:tcW w:w="2127" w:type="dxa"/>
          </w:tcPr>
          <w:p w:rsidR="002E78D8" w:rsidRPr="00D01115" w:rsidRDefault="002E78D8" w:rsidP="00D01115">
            <w:pPr>
              <w:pStyle w:val="Sangradetextonormal"/>
              <w:widowControl w:val="0"/>
              <w:suppressAutoHyphens/>
              <w:spacing w:after="0"/>
              <w:ind w:left="0"/>
              <w:jc w:val="both"/>
              <w:rPr>
                <w:rFonts w:ascii="Tahoma" w:hAnsi="Tahoma" w:cs="Tahoma"/>
                <w:sz w:val="18"/>
                <w:szCs w:val="18"/>
              </w:rPr>
            </w:pPr>
            <w:r w:rsidRPr="00D01115">
              <w:rPr>
                <w:rFonts w:ascii="Tahoma" w:hAnsi="Tahoma" w:cs="Tahoma"/>
                <w:sz w:val="18"/>
                <w:szCs w:val="18"/>
              </w:rPr>
              <w:t>CFU/ml</w:t>
            </w:r>
          </w:p>
        </w:tc>
        <w:tc>
          <w:tcPr>
            <w:tcW w:w="1383" w:type="dxa"/>
          </w:tcPr>
          <w:p w:rsidR="002E78D8" w:rsidRPr="00D01115" w:rsidRDefault="002E78D8" w:rsidP="00D01115">
            <w:pPr>
              <w:pStyle w:val="Sangradetextonormal"/>
              <w:widowControl w:val="0"/>
              <w:suppressAutoHyphens/>
              <w:spacing w:after="0"/>
              <w:ind w:left="0"/>
              <w:jc w:val="both"/>
              <w:rPr>
                <w:rFonts w:ascii="Tahoma" w:hAnsi="Tahoma" w:cs="Tahoma"/>
                <w:sz w:val="18"/>
                <w:szCs w:val="18"/>
              </w:rPr>
            </w:pPr>
            <w:r w:rsidRPr="00D01115">
              <w:rPr>
                <w:rFonts w:ascii="Tahoma" w:hAnsi="Tahoma" w:cs="Tahoma"/>
                <w:sz w:val="18"/>
                <w:szCs w:val="18"/>
              </w:rPr>
              <w:t>0</w:t>
            </w:r>
          </w:p>
        </w:tc>
      </w:tr>
    </w:tbl>
    <w:p w:rsidR="002E78D8" w:rsidRDefault="002E78D8" w:rsidP="002E78D8">
      <w:pPr>
        <w:pStyle w:val="Sangradetextonormal"/>
        <w:widowControl w:val="0"/>
        <w:suppressAutoHyphens/>
        <w:spacing w:after="0"/>
        <w:ind w:left="567"/>
        <w:jc w:val="both"/>
        <w:rPr>
          <w:rFonts w:ascii="Tahoma" w:hAnsi="Tahoma" w:cs="Tahoma"/>
          <w:sz w:val="22"/>
          <w:szCs w:val="22"/>
        </w:rPr>
      </w:pPr>
    </w:p>
    <w:p w:rsidR="002E78D8" w:rsidRPr="00A5324A" w:rsidRDefault="002E78D8" w:rsidP="002E78D8">
      <w:pPr>
        <w:pStyle w:val="Sangradetextonormal"/>
        <w:widowControl w:val="0"/>
        <w:suppressAutoHyphens/>
        <w:spacing w:after="0"/>
        <w:ind w:left="567"/>
        <w:jc w:val="both"/>
        <w:rPr>
          <w:rFonts w:ascii="Tahoma" w:hAnsi="Tahoma" w:cs="Tahoma"/>
          <w:sz w:val="22"/>
          <w:szCs w:val="22"/>
        </w:rPr>
      </w:pPr>
    </w:p>
    <w:p w:rsidR="002E78D8" w:rsidRDefault="002E78D8" w:rsidP="002E78D8">
      <w:pPr>
        <w:pStyle w:val="Sangradetextonormal"/>
        <w:widowControl w:val="0"/>
        <w:numPr>
          <w:ilvl w:val="0"/>
          <w:numId w:val="1"/>
        </w:numPr>
        <w:suppressAutoHyphens/>
        <w:spacing w:after="0"/>
        <w:ind w:left="567" w:hanging="567"/>
        <w:jc w:val="both"/>
        <w:rPr>
          <w:rFonts w:ascii="Tahoma" w:hAnsi="Tahoma" w:cs="Tahoma"/>
          <w:sz w:val="22"/>
          <w:szCs w:val="22"/>
        </w:rPr>
      </w:pPr>
      <w:r>
        <w:rPr>
          <w:rFonts w:ascii="Tahoma" w:hAnsi="Tahoma" w:cs="Tahoma"/>
          <w:sz w:val="22"/>
          <w:szCs w:val="22"/>
        </w:rPr>
        <w:t xml:space="preserve">Finalmente, obra a fojas 92 al 93 la traducción de la Carta de Fabricante del Tapón desinfectante stay.safe, en el cual se señalo que </w:t>
      </w:r>
      <w:r w:rsidRPr="00385906">
        <w:rPr>
          <w:rFonts w:ascii="Tahoma" w:hAnsi="Tahoma" w:cs="Tahoma"/>
          <w:i/>
          <w:sz w:val="22"/>
          <w:szCs w:val="22"/>
        </w:rPr>
        <w:t xml:space="preserve">“No está etiquetado como “estéril” ya que no ha sido esterilizado </w:t>
      </w:r>
      <w:r>
        <w:rPr>
          <w:rFonts w:ascii="Tahoma" w:hAnsi="Tahoma" w:cs="Tahoma"/>
          <w:i/>
          <w:sz w:val="22"/>
          <w:szCs w:val="22"/>
        </w:rPr>
        <w:t>p</w:t>
      </w:r>
      <w:r w:rsidRPr="00385906">
        <w:rPr>
          <w:rFonts w:ascii="Tahoma" w:hAnsi="Tahoma" w:cs="Tahoma"/>
          <w:i/>
          <w:sz w:val="22"/>
          <w:szCs w:val="22"/>
        </w:rPr>
        <w:t>or medio de óxido de etileno, vapor, o radiación. Pero debido al hecho de que el tapón (2845091) contiene un desinfectante basado en yodopolividona, la esterilización del producto no es necesaria para el uso indicado del mismo”</w:t>
      </w:r>
      <w:r>
        <w:rPr>
          <w:rFonts w:ascii="Tahoma" w:hAnsi="Tahoma" w:cs="Tahoma"/>
          <w:i/>
          <w:sz w:val="22"/>
          <w:szCs w:val="22"/>
        </w:rPr>
        <w:t>.</w:t>
      </w:r>
    </w:p>
    <w:p w:rsidR="002E78D8" w:rsidRDefault="002E78D8" w:rsidP="002E78D8">
      <w:pPr>
        <w:pStyle w:val="Sangradetextonormal"/>
        <w:widowControl w:val="0"/>
        <w:suppressAutoHyphens/>
        <w:spacing w:after="0"/>
        <w:ind w:left="567"/>
        <w:jc w:val="both"/>
        <w:rPr>
          <w:rFonts w:ascii="Tahoma" w:hAnsi="Tahoma" w:cs="Tahoma"/>
          <w:sz w:val="22"/>
          <w:szCs w:val="22"/>
          <w:lang w:val="es-ES_tradnl"/>
        </w:rPr>
      </w:pPr>
    </w:p>
    <w:p w:rsidR="002E78D8" w:rsidRDefault="002E78D8" w:rsidP="002E78D8">
      <w:pPr>
        <w:pStyle w:val="Sangradetextonormal"/>
        <w:widowControl w:val="0"/>
        <w:numPr>
          <w:ilvl w:val="0"/>
          <w:numId w:val="1"/>
        </w:numPr>
        <w:suppressAutoHyphens/>
        <w:spacing w:after="0"/>
        <w:ind w:left="567" w:hanging="567"/>
        <w:jc w:val="both"/>
        <w:rPr>
          <w:rFonts w:ascii="Tahoma" w:hAnsi="Tahoma" w:cs="Tahoma"/>
          <w:sz w:val="22"/>
          <w:szCs w:val="22"/>
        </w:rPr>
      </w:pPr>
      <w:r>
        <w:rPr>
          <w:rFonts w:ascii="Tahoma" w:hAnsi="Tahoma" w:cs="Tahoma"/>
          <w:sz w:val="22"/>
          <w:szCs w:val="22"/>
        </w:rPr>
        <w:t>De todo lo señalado anteriormente, al margen de la contradicción que existiría en la propuesta técnica del Adjudicatario, al indicar a fojas 28 que el Método de Esterilización del obturador ofertado “NO APLICA”, para después señalar a fojas</w:t>
      </w:r>
      <w:r w:rsidRPr="00CE3CB2">
        <w:rPr>
          <w:rFonts w:ascii="Tahoma" w:hAnsi="Tahoma" w:cs="Tahoma"/>
          <w:sz w:val="22"/>
          <w:szCs w:val="22"/>
        </w:rPr>
        <w:t xml:space="preserve"> 29 al 31 que el obturador ha sido esterilizado por el método de esterilización “Oxido de Etileno” </w:t>
      </w:r>
      <w:r>
        <w:rPr>
          <w:rFonts w:ascii="Tahoma" w:hAnsi="Tahoma" w:cs="Tahoma"/>
          <w:sz w:val="22"/>
          <w:szCs w:val="22"/>
        </w:rPr>
        <w:t>y concluir</w:t>
      </w:r>
      <w:r w:rsidRPr="00CE3CB2">
        <w:rPr>
          <w:rFonts w:ascii="Tahoma" w:hAnsi="Tahoma" w:cs="Tahoma"/>
          <w:sz w:val="22"/>
          <w:szCs w:val="22"/>
        </w:rPr>
        <w:t xml:space="preserve"> </w:t>
      </w:r>
      <w:r>
        <w:rPr>
          <w:rFonts w:ascii="Tahoma" w:hAnsi="Tahoma" w:cs="Tahoma"/>
          <w:sz w:val="22"/>
          <w:szCs w:val="22"/>
        </w:rPr>
        <w:t>a fojas 92 al 93 que el producto Tapón desinfectante stay.safe no ha sido esterilizado por medio de óxido de etileno, vapor o radición</w:t>
      </w:r>
      <w:r w:rsidRPr="00CE3CB2">
        <w:rPr>
          <w:rFonts w:ascii="Tahoma" w:hAnsi="Tahoma" w:cs="Tahoma"/>
          <w:sz w:val="22"/>
          <w:szCs w:val="22"/>
        </w:rPr>
        <w:t xml:space="preserve">, este Colegiado comparte la opinión de la Entidad, respecto a que el Adjudicatario no </w:t>
      </w:r>
      <w:r>
        <w:rPr>
          <w:rFonts w:ascii="Tahoma" w:hAnsi="Tahoma" w:cs="Tahoma"/>
          <w:sz w:val="22"/>
          <w:szCs w:val="22"/>
        </w:rPr>
        <w:t>ha cumplido</w:t>
      </w:r>
      <w:r w:rsidRPr="00CE3CB2">
        <w:rPr>
          <w:rFonts w:ascii="Tahoma" w:hAnsi="Tahoma" w:cs="Tahoma"/>
          <w:sz w:val="22"/>
          <w:szCs w:val="22"/>
        </w:rPr>
        <w:t xml:space="preserve"> con acreditar que el componente Nº 6 “obturador” que ha ofertado, tiene la condición de estéril. </w:t>
      </w:r>
    </w:p>
    <w:p w:rsidR="002E78D8" w:rsidRDefault="002E78D8" w:rsidP="002E78D8">
      <w:pPr>
        <w:pStyle w:val="Prrafodelista"/>
        <w:rPr>
          <w:rFonts w:ascii="Tahoma" w:hAnsi="Tahoma" w:cs="Tahoma"/>
          <w:sz w:val="22"/>
          <w:szCs w:val="22"/>
        </w:rPr>
      </w:pPr>
    </w:p>
    <w:p w:rsidR="002E78D8" w:rsidRDefault="002E78D8" w:rsidP="002E78D8">
      <w:pPr>
        <w:pStyle w:val="Sangradetextonormal"/>
        <w:widowControl w:val="0"/>
        <w:numPr>
          <w:ilvl w:val="0"/>
          <w:numId w:val="1"/>
        </w:numPr>
        <w:suppressAutoHyphens/>
        <w:spacing w:after="0"/>
        <w:ind w:left="567" w:hanging="567"/>
        <w:jc w:val="both"/>
        <w:rPr>
          <w:rFonts w:ascii="Tahoma" w:hAnsi="Tahoma" w:cs="Tahoma"/>
          <w:sz w:val="22"/>
          <w:szCs w:val="22"/>
        </w:rPr>
      </w:pPr>
      <w:r>
        <w:rPr>
          <w:rFonts w:ascii="Tahoma" w:hAnsi="Tahoma" w:cs="Tahoma"/>
          <w:sz w:val="22"/>
          <w:szCs w:val="22"/>
        </w:rPr>
        <w:t xml:space="preserve">En efecto, se ha señalado a fojas 29 al 31 de la Propuesta Técnica del Adjudicatario, en el cual se describe las especificaciones técnicas del Obturador </w:t>
      </w:r>
      <w:r>
        <w:rPr>
          <w:rFonts w:ascii="Tahoma" w:hAnsi="Tahoma" w:cs="Tahoma"/>
          <w:sz w:val="22"/>
          <w:szCs w:val="22"/>
        </w:rPr>
        <w:lastRenderedPageBreak/>
        <w:t>ofertado, se puede advertir que dicho componente está conformado por dos elementos, los cuales cuentan con las siguientes características:</w:t>
      </w:r>
    </w:p>
    <w:p w:rsidR="002E78D8" w:rsidRDefault="002E78D8" w:rsidP="002E78D8">
      <w:pPr>
        <w:rPr>
          <w:rFonts w:ascii="Tahoma" w:hAnsi="Tahoma" w:cs="Tahoma"/>
          <w:sz w:val="22"/>
          <w:szCs w:val="22"/>
        </w:rPr>
      </w:pPr>
    </w:p>
    <w:p w:rsidR="002E78D8" w:rsidRPr="00C608F5" w:rsidRDefault="002E78D8" w:rsidP="002E78D8">
      <w:pPr>
        <w:rPr>
          <w:rFonts w:ascii="Tahoma" w:hAnsi="Tahoma" w:cs="Tahoma"/>
          <w:sz w:val="22"/>
          <w:szCs w:val="22"/>
        </w:rPr>
      </w:pPr>
    </w:p>
    <w:p w:rsidR="002E78D8" w:rsidRPr="00C608F5" w:rsidRDefault="002E78D8" w:rsidP="002E78D8">
      <w:pPr>
        <w:pStyle w:val="Sangradetextonormal"/>
        <w:widowControl w:val="0"/>
        <w:numPr>
          <w:ilvl w:val="0"/>
          <w:numId w:val="37"/>
        </w:numPr>
        <w:suppressAutoHyphens/>
        <w:spacing w:after="0"/>
        <w:ind w:left="2977" w:hanging="567"/>
        <w:jc w:val="both"/>
        <w:rPr>
          <w:rFonts w:ascii="Tahoma" w:hAnsi="Tahoma" w:cs="Tahoma"/>
          <w:i/>
          <w:sz w:val="18"/>
          <w:szCs w:val="18"/>
        </w:rPr>
      </w:pPr>
      <w:r w:rsidRPr="00C608F5">
        <w:rPr>
          <w:rFonts w:ascii="Tahoma" w:hAnsi="Tahoma" w:cs="Tahoma"/>
          <w:i/>
          <w:sz w:val="18"/>
          <w:szCs w:val="18"/>
          <w:lang w:val="es-ES_tradnl"/>
        </w:rPr>
        <w:t>TIPO MATERIAL</w:t>
      </w:r>
    </w:p>
    <w:p w:rsidR="002E78D8" w:rsidRPr="00C608F5" w:rsidRDefault="002E78D8" w:rsidP="002E78D8">
      <w:pPr>
        <w:pStyle w:val="Sangradetextonormal"/>
        <w:widowControl w:val="0"/>
        <w:numPr>
          <w:ilvl w:val="1"/>
          <w:numId w:val="37"/>
        </w:numPr>
        <w:tabs>
          <w:tab w:val="left" w:pos="2552"/>
        </w:tabs>
        <w:suppressAutoHyphens/>
        <w:spacing w:after="0"/>
        <w:ind w:left="2977" w:hanging="567"/>
        <w:jc w:val="both"/>
        <w:rPr>
          <w:rFonts w:ascii="Tahoma" w:hAnsi="Tahoma" w:cs="Tahoma"/>
          <w:i/>
          <w:sz w:val="18"/>
          <w:szCs w:val="18"/>
          <w:lang w:val="es-ES_tradnl"/>
        </w:rPr>
      </w:pPr>
      <w:r w:rsidRPr="00C608F5">
        <w:rPr>
          <w:rFonts w:ascii="Tahoma" w:hAnsi="Tahoma" w:cs="Tahoma"/>
          <w:i/>
          <w:sz w:val="18"/>
          <w:szCs w:val="18"/>
          <w:lang w:val="es-ES_tradnl"/>
        </w:rPr>
        <w:t>Obturador: Material plástico biodegradable (Biofine)</w:t>
      </w:r>
    </w:p>
    <w:p w:rsidR="002E78D8" w:rsidRPr="00C608F5" w:rsidRDefault="002E78D8" w:rsidP="002E78D8">
      <w:pPr>
        <w:pStyle w:val="Sangradetextonormal"/>
        <w:widowControl w:val="0"/>
        <w:numPr>
          <w:ilvl w:val="1"/>
          <w:numId w:val="37"/>
        </w:numPr>
        <w:suppressAutoHyphens/>
        <w:spacing w:after="0"/>
        <w:ind w:left="2977" w:hanging="567"/>
        <w:jc w:val="both"/>
        <w:rPr>
          <w:rFonts w:ascii="Tahoma" w:hAnsi="Tahoma" w:cs="Tahoma"/>
          <w:i/>
          <w:sz w:val="18"/>
          <w:szCs w:val="18"/>
        </w:rPr>
      </w:pPr>
      <w:r w:rsidRPr="00C608F5">
        <w:rPr>
          <w:rFonts w:ascii="Tahoma" w:hAnsi="Tahoma" w:cs="Tahoma"/>
          <w:i/>
          <w:sz w:val="18"/>
          <w:szCs w:val="18"/>
          <w:lang w:val="es-ES_tradnl"/>
        </w:rPr>
        <w:t>Tapa del Obturador: Poliuretano</w:t>
      </w:r>
    </w:p>
    <w:p w:rsidR="002E78D8" w:rsidRDefault="002E78D8" w:rsidP="002E78D8">
      <w:pPr>
        <w:pStyle w:val="Sangradetextonormal"/>
        <w:widowControl w:val="0"/>
        <w:suppressAutoHyphens/>
        <w:spacing w:after="0"/>
        <w:ind w:left="567"/>
        <w:jc w:val="both"/>
        <w:rPr>
          <w:rFonts w:ascii="Tahoma" w:hAnsi="Tahoma" w:cs="Tahoma"/>
          <w:sz w:val="22"/>
          <w:szCs w:val="22"/>
        </w:rPr>
      </w:pPr>
    </w:p>
    <w:p w:rsidR="002E78D8" w:rsidRDefault="002E78D8" w:rsidP="002E78D8">
      <w:pPr>
        <w:pStyle w:val="Sangradetextonormal"/>
        <w:widowControl w:val="0"/>
        <w:suppressAutoHyphens/>
        <w:spacing w:after="0"/>
        <w:ind w:left="567"/>
        <w:jc w:val="both"/>
        <w:rPr>
          <w:rFonts w:ascii="Tahoma" w:hAnsi="Tahoma" w:cs="Tahoma"/>
          <w:sz w:val="22"/>
          <w:szCs w:val="22"/>
        </w:rPr>
      </w:pPr>
    </w:p>
    <w:p w:rsidR="002E78D8" w:rsidRDefault="002E78D8" w:rsidP="002E78D8">
      <w:pPr>
        <w:pStyle w:val="Sangradetextonormal"/>
        <w:widowControl w:val="0"/>
        <w:numPr>
          <w:ilvl w:val="0"/>
          <w:numId w:val="1"/>
        </w:numPr>
        <w:suppressAutoHyphens/>
        <w:spacing w:after="0"/>
        <w:ind w:left="567" w:hanging="567"/>
        <w:jc w:val="both"/>
        <w:rPr>
          <w:rFonts w:ascii="Tahoma" w:hAnsi="Tahoma" w:cs="Tahoma"/>
          <w:sz w:val="22"/>
          <w:szCs w:val="22"/>
        </w:rPr>
      </w:pPr>
      <w:r>
        <w:rPr>
          <w:rFonts w:ascii="Tahoma" w:hAnsi="Tahoma" w:cs="Tahoma"/>
          <w:sz w:val="22"/>
          <w:szCs w:val="22"/>
        </w:rPr>
        <w:t>Ahora bien, como se ha establecido en las Bases Integradas, los postores debían acreditar que el componente Nº 06 “Obturador”, tenía que tener la condición “estéril”, por lo cual se requería para ello, que el Protocolo de Análisis de dicho componente contenga como mínimo las pruebas de carácter físico y esterilidad.</w:t>
      </w:r>
    </w:p>
    <w:p w:rsidR="002E78D8" w:rsidRDefault="002E78D8" w:rsidP="002E78D8">
      <w:pPr>
        <w:pStyle w:val="Sangradetextonormal"/>
        <w:widowControl w:val="0"/>
        <w:suppressAutoHyphens/>
        <w:spacing w:after="0"/>
        <w:ind w:left="567"/>
        <w:jc w:val="both"/>
        <w:rPr>
          <w:rFonts w:ascii="Tahoma" w:hAnsi="Tahoma" w:cs="Tahoma"/>
          <w:sz w:val="22"/>
          <w:szCs w:val="22"/>
        </w:rPr>
      </w:pPr>
    </w:p>
    <w:p w:rsidR="002E78D8" w:rsidRDefault="002E78D8" w:rsidP="002E78D8">
      <w:pPr>
        <w:pStyle w:val="Sangradetextonormal"/>
        <w:widowControl w:val="0"/>
        <w:numPr>
          <w:ilvl w:val="0"/>
          <w:numId w:val="1"/>
        </w:numPr>
        <w:suppressAutoHyphens/>
        <w:spacing w:after="0"/>
        <w:ind w:left="567" w:hanging="567"/>
        <w:jc w:val="both"/>
        <w:rPr>
          <w:rFonts w:ascii="Tahoma" w:hAnsi="Tahoma" w:cs="Tahoma"/>
          <w:sz w:val="22"/>
          <w:szCs w:val="22"/>
        </w:rPr>
      </w:pPr>
      <w:r>
        <w:rPr>
          <w:rFonts w:ascii="Tahoma" w:hAnsi="Tahoma" w:cs="Tahoma"/>
          <w:sz w:val="22"/>
          <w:szCs w:val="22"/>
        </w:rPr>
        <w:t>No obstante ello, tal como se puede verificar a fojas 89 al 90 de la propuesta técnica del Adjudicatario, sólo ha presentado el Certificado de Análisis de uno de los elementos que conforman el componente “Obturador”, es decir el Tapón desinfectante stay safe (tapa del obturador), no obrando documento alguno que acredite que el componente completo “obturador”, tiene la condición de estéril.</w:t>
      </w:r>
    </w:p>
    <w:p w:rsidR="002E78D8" w:rsidRDefault="002E78D8" w:rsidP="002E78D8">
      <w:pPr>
        <w:pStyle w:val="Prrafodelista"/>
        <w:rPr>
          <w:rFonts w:ascii="Tahoma" w:hAnsi="Tahoma" w:cs="Tahoma"/>
          <w:sz w:val="22"/>
          <w:szCs w:val="22"/>
        </w:rPr>
      </w:pPr>
    </w:p>
    <w:p w:rsidR="002E78D8" w:rsidRDefault="002E78D8" w:rsidP="002E78D8">
      <w:pPr>
        <w:pStyle w:val="Sangradetextonormal"/>
        <w:widowControl w:val="0"/>
        <w:numPr>
          <w:ilvl w:val="0"/>
          <w:numId w:val="1"/>
        </w:numPr>
        <w:suppressAutoHyphens/>
        <w:spacing w:after="0"/>
        <w:ind w:left="567" w:hanging="567"/>
        <w:jc w:val="both"/>
        <w:rPr>
          <w:rFonts w:ascii="Tahoma" w:hAnsi="Tahoma" w:cs="Tahoma"/>
          <w:sz w:val="22"/>
          <w:szCs w:val="22"/>
        </w:rPr>
      </w:pPr>
      <w:r w:rsidRPr="00B91C2E">
        <w:rPr>
          <w:rFonts w:ascii="Tahoma" w:hAnsi="Tahoma" w:cs="Tahoma"/>
          <w:sz w:val="22"/>
          <w:szCs w:val="22"/>
          <w:lang w:val="es-ES_tradnl"/>
        </w:rPr>
        <w:t>En ef</w:t>
      </w:r>
      <w:r>
        <w:rPr>
          <w:rFonts w:ascii="Tahoma" w:hAnsi="Tahoma" w:cs="Tahoma"/>
          <w:sz w:val="22"/>
          <w:szCs w:val="22"/>
          <w:lang w:val="es-ES_tradnl"/>
        </w:rPr>
        <w:t>ecto,</w:t>
      </w:r>
      <w:r w:rsidRPr="00B91C2E">
        <w:rPr>
          <w:rFonts w:ascii="Tahoma" w:hAnsi="Tahoma" w:cs="Tahoma"/>
          <w:sz w:val="22"/>
          <w:szCs w:val="22"/>
          <w:lang w:val="es-ES_tradnl"/>
        </w:rPr>
        <w:t xml:space="preserve"> de los escritos presentados por el Adjudicatario en el trámite del presente recurso impugnativo, </w:t>
      </w:r>
      <w:r>
        <w:rPr>
          <w:rFonts w:ascii="Tahoma" w:hAnsi="Tahoma" w:cs="Tahoma"/>
          <w:sz w:val="22"/>
          <w:szCs w:val="22"/>
          <w:lang w:val="es-ES_tradnl"/>
        </w:rPr>
        <w:t xml:space="preserve">no ha probado que el “Obturador” tenga la condición de estéril, sino que sólo ha tratado de demostrar que uno de los elementos que conforman dicho componente, es decir·el </w:t>
      </w:r>
      <w:r>
        <w:rPr>
          <w:rFonts w:ascii="Tahoma" w:hAnsi="Tahoma" w:cs="Tahoma"/>
          <w:sz w:val="22"/>
          <w:szCs w:val="22"/>
        </w:rPr>
        <w:t>Tapón desinfectante stay safe,</w:t>
      </w:r>
      <w:r>
        <w:rPr>
          <w:rFonts w:ascii="Tahoma" w:hAnsi="Tahoma" w:cs="Tahoma"/>
          <w:sz w:val="22"/>
          <w:szCs w:val="22"/>
          <w:lang w:val="es-ES_tradnl"/>
        </w:rPr>
        <w:t xml:space="preserve"> cumple con los establecido en las Bases Integradas, al señalar que el “Obturador” cuenta</w:t>
      </w:r>
      <w:r w:rsidRPr="00B91C2E">
        <w:rPr>
          <w:rFonts w:ascii="Tahoma" w:hAnsi="Tahoma" w:cs="Tahoma"/>
          <w:sz w:val="22"/>
          <w:szCs w:val="22"/>
          <w:lang w:val="es-ES_tradnl"/>
        </w:rPr>
        <w:t xml:space="preserve"> con un </w:t>
      </w:r>
      <w:r w:rsidRPr="00B91C2E">
        <w:rPr>
          <w:rFonts w:ascii="Tahoma" w:hAnsi="Tahoma" w:cs="Tahoma"/>
          <w:sz w:val="22"/>
          <w:szCs w:val="22"/>
        </w:rPr>
        <w:t>tapón desinfectante stay- safe, basado en yodopovidona, que lo mantiene esterilizado, por sus potentes funciones bactericidas, fungicidas, virucidas, microbicidas y esporicidas, lo cual incluye la elim</w:t>
      </w:r>
      <w:r>
        <w:rPr>
          <w:rFonts w:ascii="Tahoma" w:hAnsi="Tahoma" w:cs="Tahoma"/>
          <w:sz w:val="22"/>
          <w:szCs w:val="22"/>
        </w:rPr>
        <w:t>inación de esporas bacterianas.</w:t>
      </w:r>
    </w:p>
    <w:p w:rsidR="002E78D8" w:rsidRDefault="002E78D8" w:rsidP="002E78D8">
      <w:pPr>
        <w:pStyle w:val="Prrafodelista"/>
        <w:rPr>
          <w:rFonts w:ascii="Tahoma" w:hAnsi="Tahoma" w:cs="Tahoma"/>
          <w:sz w:val="22"/>
          <w:szCs w:val="22"/>
        </w:rPr>
      </w:pPr>
    </w:p>
    <w:p w:rsidR="002E78D8" w:rsidRDefault="002E78D8" w:rsidP="002E78D8">
      <w:pPr>
        <w:pStyle w:val="Sangradetextonormal"/>
        <w:widowControl w:val="0"/>
        <w:suppressAutoHyphens/>
        <w:spacing w:after="0"/>
        <w:ind w:left="567"/>
        <w:jc w:val="both"/>
        <w:rPr>
          <w:rFonts w:ascii="Tahoma" w:hAnsi="Tahoma" w:cs="Tahoma"/>
          <w:sz w:val="22"/>
          <w:szCs w:val="22"/>
        </w:rPr>
      </w:pPr>
      <w:r w:rsidRPr="00B91C2E">
        <w:rPr>
          <w:rFonts w:ascii="Tahoma" w:hAnsi="Tahoma" w:cs="Tahoma"/>
          <w:sz w:val="22"/>
          <w:szCs w:val="22"/>
        </w:rPr>
        <w:t>Asimismo, ha señalado que la Esteri</w:t>
      </w:r>
      <w:r>
        <w:rPr>
          <w:rFonts w:ascii="Tahoma" w:hAnsi="Tahoma" w:cs="Tahoma"/>
          <w:sz w:val="22"/>
          <w:szCs w:val="22"/>
        </w:rPr>
        <w:t xml:space="preserve">lidad del </w:t>
      </w:r>
      <w:r w:rsidRPr="00B91C2E">
        <w:rPr>
          <w:rFonts w:ascii="Tahoma" w:hAnsi="Tahoma" w:cs="Tahoma"/>
          <w:sz w:val="22"/>
          <w:szCs w:val="22"/>
        </w:rPr>
        <w:t xml:space="preserve">componente </w:t>
      </w:r>
      <w:r>
        <w:rPr>
          <w:rFonts w:ascii="Tahoma" w:hAnsi="Tahoma" w:cs="Tahoma"/>
          <w:sz w:val="22"/>
          <w:szCs w:val="22"/>
        </w:rPr>
        <w:t xml:space="preserve">“Obturador” </w:t>
      </w:r>
      <w:r w:rsidRPr="00B91C2E">
        <w:rPr>
          <w:rFonts w:ascii="Tahoma" w:hAnsi="Tahoma" w:cs="Tahoma"/>
          <w:sz w:val="22"/>
          <w:szCs w:val="22"/>
        </w:rPr>
        <w:t>también se acredita</w:t>
      </w:r>
      <w:r>
        <w:rPr>
          <w:rFonts w:ascii="Tahoma" w:hAnsi="Tahoma" w:cs="Tahoma"/>
          <w:sz w:val="22"/>
          <w:szCs w:val="22"/>
        </w:rPr>
        <w:t>ría</w:t>
      </w:r>
      <w:r w:rsidRPr="00B91C2E">
        <w:rPr>
          <w:rFonts w:ascii="Tahoma" w:hAnsi="Tahoma" w:cs="Tahoma"/>
          <w:sz w:val="22"/>
          <w:szCs w:val="22"/>
        </w:rPr>
        <w:t xml:space="preserve"> a través del Protocolo de Análisis (folio 91) que indica que el valor límite de la prueba de “Calidad Microbiológica del Desinfectante” es de 0 CFU/ml (unidad formadora de colonias/ml),</w:t>
      </w:r>
      <w:r w:rsidRPr="00B91C2E">
        <w:rPr>
          <w:rFonts w:ascii="Tahoma" w:hAnsi="Tahoma" w:cs="Tahoma"/>
          <w:sz w:val="22"/>
          <w:szCs w:val="22"/>
          <w:lang w:val="es-ES_tradnl"/>
        </w:rPr>
        <w:t xml:space="preserve"> es decir que tiene la condición de estéril y que se encuentra libre de </w:t>
      </w:r>
      <w:r>
        <w:rPr>
          <w:rFonts w:ascii="Tahoma" w:hAnsi="Tahoma" w:cs="Tahoma"/>
          <w:sz w:val="22"/>
          <w:szCs w:val="22"/>
          <w:lang w:val="es-ES_tradnl"/>
        </w:rPr>
        <w:t xml:space="preserve">cualquier tipo de contaminación; no obstante ello, tal como se señaló anteriormente, dicho Certificado de Análisis no está referido a todo el componente “Obturador” sino sólo al </w:t>
      </w:r>
      <w:r>
        <w:rPr>
          <w:rFonts w:ascii="Tahoma" w:hAnsi="Tahoma" w:cs="Tahoma"/>
          <w:sz w:val="22"/>
          <w:szCs w:val="22"/>
        </w:rPr>
        <w:t>Tapón desinfectante stay safe.</w:t>
      </w:r>
    </w:p>
    <w:p w:rsidR="002E78D8" w:rsidRDefault="002E78D8" w:rsidP="002E78D8">
      <w:pPr>
        <w:pStyle w:val="Sangradetextonormal"/>
        <w:widowControl w:val="0"/>
        <w:suppressAutoHyphens/>
        <w:spacing w:after="0"/>
        <w:ind w:left="567"/>
        <w:jc w:val="both"/>
        <w:rPr>
          <w:rFonts w:ascii="Tahoma" w:hAnsi="Tahoma" w:cs="Tahoma"/>
          <w:sz w:val="22"/>
          <w:szCs w:val="22"/>
        </w:rPr>
      </w:pPr>
    </w:p>
    <w:p w:rsidR="002E78D8" w:rsidRDefault="002E78D8" w:rsidP="002E78D8">
      <w:pPr>
        <w:pStyle w:val="Sangradetextonormal"/>
        <w:widowControl w:val="0"/>
        <w:numPr>
          <w:ilvl w:val="0"/>
          <w:numId w:val="1"/>
        </w:numPr>
        <w:tabs>
          <w:tab w:val="num" w:pos="567"/>
        </w:tabs>
        <w:suppressAutoHyphens/>
        <w:spacing w:after="0"/>
        <w:ind w:left="540" w:hanging="567"/>
        <w:jc w:val="both"/>
        <w:rPr>
          <w:rFonts w:ascii="Tahoma" w:hAnsi="Tahoma" w:cs="Tahoma"/>
          <w:sz w:val="22"/>
          <w:szCs w:val="22"/>
        </w:rPr>
      </w:pPr>
      <w:r w:rsidRPr="00DA2E99">
        <w:rPr>
          <w:rFonts w:ascii="Tahoma" w:hAnsi="Tahoma" w:cs="Tahoma"/>
          <w:sz w:val="22"/>
          <w:szCs w:val="22"/>
        </w:rPr>
        <w:t xml:space="preserve">Por otra parte, no resulta tampoco amparable lo esgrimido por el Adjudicatario, respecto a que no existió cuestionamientos en otros proceso de selección convocados por la Entidad, en el cual ofertaron el mismo componente, al tener conocimiento que el procedimiento de recambio es el sistema Andy.Disc, el cual sólo es necesario que el tapón desinfectante stay.safe sea estéril, al ser lo único que se pone en contacto </w:t>
      </w:r>
      <w:r>
        <w:rPr>
          <w:rFonts w:ascii="Tahoma" w:hAnsi="Tahoma" w:cs="Tahoma"/>
          <w:sz w:val="22"/>
          <w:szCs w:val="22"/>
        </w:rPr>
        <w:t xml:space="preserve">con el obturador; toda vez que </w:t>
      </w:r>
      <w:r w:rsidRPr="00DA2E99">
        <w:rPr>
          <w:rFonts w:ascii="Tahoma" w:hAnsi="Tahoma" w:cs="Tahoma"/>
          <w:sz w:val="22"/>
          <w:szCs w:val="22"/>
          <w:lang w:val="es-ES_tradnl"/>
        </w:rPr>
        <w:t xml:space="preserve">las Bases Integradas del proceso de selección materia de análisis, expresamente requerían que a efectos de demostrar que el componente “obturador”, tiene la condición de estéril, se </w:t>
      </w:r>
      <w:r w:rsidRPr="00DA2E99">
        <w:rPr>
          <w:rFonts w:ascii="Tahoma" w:hAnsi="Tahoma" w:cs="Tahoma"/>
          <w:sz w:val="22"/>
          <w:szCs w:val="22"/>
          <w:lang w:val="es-ES_tradnl"/>
        </w:rPr>
        <w:lastRenderedPageBreak/>
        <w:t>debía presentar el Protocolo de Análisis el cual</w:t>
      </w:r>
      <w:r w:rsidRPr="00DA2E99">
        <w:rPr>
          <w:rFonts w:ascii="Tahoma" w:hAnsi="Tahoma" w:cs="Tahoma"/>
          <w:sz w:val="22"/>
          <w:szCs w:val="22"/>
        </w:rPr>
        <w:t xml:space="preserve"> contenga como mínimo las pruebas de carácter físico y esterilidad de dicho componente, no obstante ello, el Adjudicatario no cumplió con dicho requisito obligatorio, sino que por el contrario, tal como se señaló anteriormente, presentó sólo el </w:t>
      </w:r>
      <w:r w:rsidRPr="00DA2E99">
        <w:rPr>
          <w:rFonts w:ascii="Tahoma" w:hAnsi="Tahoma" w:cs="Tahoma"/>
          <w:sz w:val="22"/>
          <w:szCs w:val="22"/>
          <w:lang w:val="es-ES_tradnl"/>
        </w:rPr>
        <w:t xml:space="preserve">Certificado de Análisis de una de los elementos del “obturador”, es decir el </w:t>
      </w:r>
      <w:r w:rsidRPr="00DA2E99">
        <w:rPr>
          <w:rFonts w:ascii="Tahoma" w:hAnsi="Tahoma" w:cs="Tahoma"/>
          <w:sz w:val="22"/>
          <w:szCs w:val="22"/>
        </w:rPr>
        <w:t>Tapón desinfectante stay safe, no cumpliendo con lo que establecían las Bases Integradas, toda vez que lo que se tenía que acreditar era que el componente “obturador” es estéril y no solamente uno de sus elementos.</w:t>
      </w:r>
    </w:p>
    <w:p w:rsidR="002E78D8" w:rsidRDefault="002E78D8" w:rsidP="002E78D8">
      <w:pPr>
        <w:pStyle w:val="Sangradetextonormal"/>
        <w:widowControl w:val="0"/>
        <w:suppressAutoHyphens/>
        <w:spacing w:after="0"/>
        <w:ind w:left="540"/>
        <w:jc w:val="both"/>
        <w:rPr>
          <w:rFonts w:ascii="Tahoma" w:hAnsi="Tahoma" w:cs="Tahoma"/>
          <w:sz w:val="22"/>
          <w:szCs w:val="22"/>
        </w:rPr>
      </w:pPr>
    </w:p>
    <w:p w:rsidR="002E78D8" w:rsidRDefault="002E78D8" w:rsidP="002E78D8">
      <w:pPr>
        <w:pStyle w:val="Sangradetextonormal"/>
        <w:widowControl w:val="0"/>
        <w:numPr>
          <w:ilvl w:val="0"/>
          <w:numId w:val="1"/>
        </w:numPr>
        <w:suppressAutoHyphens/>
        <w:spacing w:after="0"/>
        <w:ind w:left="540" w:hanging="567"/>
        <w:jc w:val="both"/>
        <w:rPr>
          <w:rFonts w:ascii="Tahoma" w:hAnsi="Tahoma" w:cs="Tahoma"/>
          <w:sz w:val="22"/>
          <w:szCs w:val="22"/>
        </w:rPr>
      </w:pPr>
      <w:r w:rsidRPr="007E6DFD">
        <w:rPr>
          <w:rFonts w:ascii="Tahoma" w:hAnsi="Tahoma" w:cs="Tahoma"/>
          <w:sz w:val="22"/>
          <w:szCs w:val="22"/>
        </w:rPr>
        <w:t>Consecuentemente, la propuesta del Adjudicatario</w:t>
      </w:r>
      <w:r w:rsidRPr="007E6DFD">
        <w:rPr>
          <w:rFonts w:ascii="Tahoma" w:hAnsi="Tahoma" w:cs="Tahoma"/>
          <w:color w:val="000000"/>
          <w:sz w:val="22"/>
          <w:szCs w:val="22"/>
        </w:rPr>
        <w:t xml:space="preserve"> </w:t>
      </w:r>
      <w:r w:rsidRPr="007E6DFD">
        <w:rPr>
          <w:rFonts w:ascii="Tahoma" w:hAnsi="Tahoma" w:cs="Tahoma"/>
          <w:sz w:val="22"/>
          <w:szCs w:val="22"/>
        </w:rPr>
        <w:t xml:space="preserve">debe ser descalificada, al no acreditar </w:t>
      </w:r>
      <w:r>
        <w:rPr>
          <w:rFonts w:ascii="Tahoma" w:hAnsi="Tahoma" w:cs="Tahoma"/>
          <w:sz w:val="22"/>
          <w:szCs w:val="22"/>
        </w:rPr>
        <w:t xml:space="preserve">que el Componente Nº 06 “Obturador” que ofertó, tiene la condición de estéril, </w:t>
      </w:r>
      <w:r w:rsidRPr="007E6DFD">
        <w:rPr>
          <w:rFonts w:ascii="Tahoma" w:hAnsi="Tahoma" w:cs="Tahoma"/>
          <w:sz w:val="22"/>
          <w:szCs w:val="22"/>
        </w:rPr>
        <w:t>y dejar sin efecto el otorgamiento de la buena pro que se le adjudicó a su favor del presente proceso de selección, resultando irrelevante pronunciarse sobre los demás cuestionamientos formulados en su contra por el Impugnante, toda vez que el resultado final seguirá siendo desfavorable para dicho postor, por lo que este extremo de la apelación, debe ser declarado fundado.</w:t>
      </w:r>
    </w:p>
    <w:p w:rsidR="002E78D8" w:rsidRDefault="002E78D8" w:rsidP="002E78D8">
      <w:pPr>
        <w:pStyle w:val="Prrafodelista"/>
        <w:rPr>
          <w:rFonts w:ascii="Tahoma" w:hAnsi="Tahoma" w:cs="Tahoma"/>
          <w:sz w:val="22"/>
          <w:szCs w:val="22"/>
        </w:rPr>
      </w:pPr>
    </w:p>
    <w:p w:rsidR="002E78D8" w:rsidRDefault="002E78D8" w:rsidP="002E78D8">
      <w:pPr>
        <w:pStyle w:val="Sangradetextonormal"/>
        <w:widowControl w:val="0"/>
        <w:numPr>
          <w:ilvl w:val="0"/>
          <w:numId w:val="1"/>
        </w:numPr>
        <w:suppressAutoHyphens/>
        <w:spacing w:after="0"/>
        <w:ind w:left="540" w:hanging="567"/>
        <w:jc w:val="both"/>
        <w:rPr>
          <w:rFonts w:ascii="Tahoma" w:hAnsi="Tahoma" w:cs="Tahoma"/>
          <w:sz w:val="22"/>
          <w:szCs w:val="22"/>
        </w:rPr>
      </w:pPr>
      <w:r>
        <w:rPr>
          <w:rFonts w:ascii="Tahoma" w:hAnsi="Tahoma" w:cs="Tahoma"/>
          <w:sz w:val="22"/>
          <w:szCs w:val="22"/>
        </w:rPr>
        <w:t>Sin perjuicio de lo señalado anteriormente, cabe precisar si bien es cierto el Impugnante ha señalado que el Adjudicatario también</w:t>
      </w:r>
      <w:r w:rsidRPr="006F3977">
        <w:rPr>
          <w:rFonts w:ascii="Tahoma" w:hAnsi="Tahoma" w:cs="Tahoma"/>
          <w:sz w:val="22"/>
          <w:szCs w:val="22"/>
        </w:rPr>
        <w:t xml:space="preserve"> </w:t>
      </w:r>
      <w:r>
        <w:rPr>
          <w:rFonts w:ascii="Tahoma" w:hAnsi="Tahoma" w:cs="Tahoma"/>
          <w:sz w:val="22"/>
          <w:szCs w:val="22"/>
        </w:rPr>
        <w:t>habría contravenido</w:t>
      </w:r>
      <w:r w:rsidRPr="006F3977">
        <w:rPr>
          <w:rFonts w:ascii="Tahoma" w:hAnsi="Tahoma" w:cs="Tahoma"/>
          <w:sz w:val="22"/>
          <w:szCs w:val="22"/>
        </w:rPr>
        <w:t xml:space="preserve"> el Principio de Moralidad</w:t>
      </w:r>
      <w:r>
        <w:rPr>
          <w:rFonts w:ascii="Tahoma" w:hAnsi="Tahoma" w:cs="Tahoma"/>
          <w:sz w:val="22"/>
          <w:szCs w:val="22"/>
        </w:rPr>
        <w:t>, al presentar en su propuesta técnica declaraciones no acordes con la verdad, al consignar datos incongruentes para acreditar la condición de estéril del Componente Nº 6 “Obturador” que ofertó</w:t>
      </w:r>
      <w:r w:rsidRPr="006F3977">
        <w:rPr>
          <w:rFonts w:ascii="Tahoma" w:hAnsi="Tahoma" w:cs="Tahoma"/>
          <w:sz w:val="22"/>
          <w:szCs w:val="22"/>
        </w:rPr>
        <w:t xml:space="preserve">, </w:t>
      </w:r>
      <w:r>
        <w:rPr>
          <w:rFonts w:ascii="Tahoma" w:hAnsi="Tahoma" w:cs="Tahoma"/>
          <w:sz w:val="22"/>
          <w:szCs w:val="22"/>
        </w:rPr>
        <w:t xml:space="preserve">no es menos cierto que los documentos presentados, y que presentan incongruencias entre sí, solo tienen la finalidad de verificar que el Componente Nº 6 “Obturador”, cumple con lo señalado en las Bases Integradas, por lo tanto, si se advierte que dicho componente no cumple con ello, determinaría la descalificación del postor, mas no puede concluirse de ello la contravención al Principio de Moralidad. </w:t>
      </w:r>
    </w:p>
    <w:p w:rsidR="002E78D8" w:rsidRDefault="002E78D8" w:rsidP="002E78D8">
      <w:pPr>
        <w:pStyle w:val="Sangradetextonormal"/>
        <w:widowControl w:val="0"/>
        <w:suppressAutoHyphens/>
        <w:spacing w:after="0"/>
        <w:ind w:left="0"/>
        <w:jc w:val="both"/>
        <w:rPr>
          <w:rFonts w:ascii="Tahoma" w:hAnsi="Tahoma" w:cs="Tahoma"/>
          <w:sz w:val="22"/>
          <w:szCs w:val="22"/>
        </w:rPr>
      </w:pPr>
    </w:p>
    <w:p w:rsidR="002E78D8" w:rsidRDefault="002E78D8" w:rsidP="002E78D8">
      <w:pPr>
        <w:pStyle w:val="Prrafodelista"/>
        <w:ind w:left="567"/>
        <w:rPr>
          <w:rFonts w:ascii="Tahoma" w:hAnsi="Tahoma" w:cs="Tahoma"/>
          <w:b/>
          <w:sz w:val="22"/>
          <w:szCs w:val="22"/>
        </w:rPr>
      </w:pPr>
      <w:r w:rsidRPr="005564BF">
        <w:rPr>
          <w:rFonts w:ascii="Tahoma" w:hAnsi="Tahoma" w:cs="Tahoma"/>
          <w:b/>
          <w:sz w:val="22"/>
          <w:szCs w:val="22"/>
        </w:rPr>
        <w:t xml:space="preserve">CUESTIONAMIENTOS CONTRA LA PROPUESTA DEL </w:t>
      </w:r>
      <w:r>
        <w:rPr>
          <w:rFonts w:ascii="Tahoma" w:hAnsi="Tahoma" w:cs="Tahoma"/>
          <w:b/>
          <w:sz w:val="22"/>
          <w:szCs w:val="22"/>
        </w:rPr>
        <w:t>IMPUGNANTE</w:t>
      </w:r>
    </w:p>
    <w:p w:rsidR="002E78D8" w:rsidRDefault="002E78D8" w:rsidP="002E78D8">
      <w:pPr>
        <w:pStyle w:val="Sangradetextonormal"/>
        <w:widowControl w:val="0"/>
        <w:suppressAutoHyphens/>
        <w:spacing w:after="0"/>
        <w:ind w:left="567"/>
        <w:jc w:val="both"/>
        <w:rPr>
          <w:rFonts w:ascii="Tahoma" w:hAnsi="Tahoma" w:cs="Tahoma"/>
          <w:sz w:val="22"/>
          <w:szCs w:val="22"/>
          <w:lang w:val="es-ES_tradnl"/>
        </w:rPr>
      </w:pPr>
    </w:p>
    <w:p w:rsidR="002E78D8" w:rsidRDefault="002E78D8" w:rsidP="002E78D8">
      <w:pPr>
        <w:pStyle w:val="Sangradetextonormal"/>
        <w:widowControl w:val="0"/>
        <w:numPr>
          <w:ilvl w:val="0"/>
          <w:numId w:val="1"/>
        </w:numPr>
        <w:suppressAutoHyphens/>
        <w:spacing w:after="0"/>
        <w:ind w:left="540" w:hanging="567"/>
        <w:jc w:val="both"/>
        <w:rPr>
          <w:rFonts w:ascii="Tahoma" w:hAnsi="Tahoma" w:cs="Tahoma"/>
          <w:sz w:val="22"/>
          <w:szCs w:val="22"/>
          <w:lang w:val="es-ES_tradnl"/>
        </w:rPr>
      </w:pPr>
      <w:r>
        <w:rPr>
          <w:rFonts w:ascii="Tahoma" w:hAnsi="Tahoma" w:cs="Tahoma"/>
          <w:sz w:val="22"/>
          <w:szCs w:val="22"/>
        </w:rPr>
        <w:t>Ahora bien, c</w:t>
      </w:r>
      <w:r w:rsidRPr="00F00D5A">
        <w:rPr>
          <w:rFonts w:ascii="Tahoma" w:hAnsi="Tahoma" w:cs="Tahoma"/>
          <w:sz w:val="22"/>
          <w:szCs w:val="22"/>
        </w:rPr>
        <w:t xml:space="preserve">abe precisar que el Adjudicatario ha </w:t>
      </w:r>
      <w:r>
        <w:rPr>
          <w:rFonts w:ascii="Tahoma" w:hAnsi="Tahoma" w:cs="Tahoma"/>
          <w:sz w:val="22"/>
          <w:szCs w:val="22"/>
        </w:rPr>
        <w:t xml:space="preserve">señalado que el Impugnante, </w:t>
      </w:r>
      <w:r>
        <w:rPr>
          <w:rFonts w:ascii="Tahoma" w:hAnsi="Tahoma" w:cs="Tahoma"/>
          <w:sz w:val="22"/>
          <w:szCs w:val="22"/>
          <w:lang w:val="es-ES_tradnl"/>
        </w:rPr>
        <w:t>no ha cumplido con acreditar la esterilidad de su producto, al no presentar ningún certificado de análisis o similar que acredite la esterilidad del lote (SE10FN7) que está ofertando, toda vez que la documentación presentada por la Impugnante. Obrante a fojas 103 de su propuesta, no es más que una mera declaración general que no acredita la esterilidad del producto, ya que ni siquiera se indicó el lote al que está referido.</w:t>
      </w:r>
    </w:p>
    <w:p w:rsidR="002E78D8" w:rsidRDefault="002E78D8" w:rsidP="002E78D8">
      <w:pPr>
        <w:pStyle w:val="Sangradetextonormal"/>
        <w:widowControl w:val="0"/>
        <w:suppressAutoHyphens/>
        <w:spacing w:after="0"/>
        <w:ind w:left="540"/>
        <w:jc w:val="both"/>
        <w:rPr>
          <w:rFonts w:ascii="Tahoma" w:hAnsi="Tahoma" w:cs="Tahoma"/>
          <w:sz w:val="22"/>
          <w:szCs w:val="22"/>
          <w:lang w:val="es-ES_tradnl"/>
        </w:rPr>
      </w:pPr>
    </w:p>
    <w:p w:rsidR="002E78D8" w:rsidRDefault="002E78D8" w:rsidP="002E78D8">
      <w:pPr>
        <w:ind w:left="567"/>
        <w:jc w:val="both"/>
        <w:rPr>
          <w:rFonts w:ascii="Tahoma" w:hAnsi="Tahoma" w:cs="Tahoma"/>
          <w:sz w:val="22"/>
          <w:szCs w:val="22"/>
          <w:lang w:val="es-ES_tradnl"/>
        </w:rPr>
      </w:pPr>
      <w:r>
        <w:rPr>
          <w:rFonts w:ascii="Tahoma" w:hAnsi="Tahoma" w:cs="Tahoma"/>
          <w:sz w:val="22"/>
          <w:szCs w:val="22"/>
          <w:lang w:val="es-ES_tradnl"/>
        </w:rPr>
        <w:t>Además, señaló que el Informe de Ensayo de Hypatia S.A. (presentado en los fólios 101 y 102 de la propuesta del Impugnante), tampoco garantiza la esterilidad del producto, toda vez que en el análisis se ha utilizado la técnica USP 32 para Productos No Estériles.</w:t>
      </w:r>
    </w:p>
    <w:p w:rsidR="002E78D8" w:rsidRDefault="002E78D8" w:rsidP="002E78D8">
      <w:pPr>
        <w:ind w:left="567"/>
        <w:jc w:val="both"/>
        <w:rPr>
          <w:rFonts w:ascii="Tahoma" w:hAnsi="Tahoma" w:cs="Tahoma"/>
          <w:sz w:val="22"/>
          <w:szCs w:val="22"/>
          <w:lang w:val="es-ES_tradnl"/>
        </w:rPr>
      </w:pPr>
    </w:p>
    <w:p w:rsidR="002E78D8" w:rsidRDefault="002E78D8" w:rsidP="002E78D8">
      <w:pPr>
        <w:ind w:left="567"/>
        <w:jc w:val="both"/>
        <w:rPr>
          <w:rFonts w:ascii="Tahoma" w:hAnsi="Tahoma" w:cs="Tahoma"/>
          <w:sz w:val="22"/>
          <w:szCs w:val="22"/>
          <w:lang w:val="es-ES_tradnl"/>
        </w:rPr>
      </w:pPr>
      <w:r>
        <w:rPr>
          <w:rFonts w:ascii="Tahoma" w:hAnsi="Tahoma" w:cs="Tahoma"/>
          <w:sz w:val="22"/>
          <w:szCs w:val="22"/>
          <w:lang w:val="es-ES_tradnl"/>
        </w:rPr>
        <w:t xml:space="preserve">Finalmente, agregó que los resultados que se consignan en las especificaciones, han sido declaradas según el solicitante, es decir dadas por la Impugnante y, </w:t>
      </w:r>
      <w:r>
        <w:rPr>
          <w:rFonts w:ascii="Tahoma" w:hAnsi="Tahoma" w:cs="Tahoma"/>
          <w:sz w:val="22"/>
          <w:szCs w:val="22"/>
          <w:lang w:val="es-ES_tradnl"/>
        </w:rPr>
        <w:lastRenderedPageBreak/>
        <w:t>además, en los resultados no se determina que exista “0 UFC”, esto significa que no se ha confirmado la esterilidad del producto.</w:t>
      </w:r>
    </w:p>
    <w:p w:rsidR="002E78D8" w:rsidRPr="004E1FF0" w:rsidRDefault="002E78D8" w:rsidP="002E78D8">
      <w:pPr>
        <w:pStyle w:val="Sangradetextonormal"/>
        <w:widowControl w:val="0"/>
        <w:suppressAutoHyphens/>
        <w:spacing w:after="0"/>
        <w:ind w:left="567"/>
        <w:jc w:val="both"/>
        <w:rPr>
          <w:rFonts w:ascii="Tahoma" w:hAnsi="Tahoma" w:cs="Tahoma"/>
          <w:sz w:val="22"/>
          <w:szCs w:val="22"/>
          <w:lang w:val="es-ES_tradnl"/>
        </w:rPr>
      </w:pPr>
    </w:p>
    <w:p w:rsidR="002E78D8" w:rsidRDefault="002E78D8" w:rsidP="002E78D8">
      <w:pPr>
        <w:pStyle w:val="Sangradetextonormal"/>
        <w:widowControl w:val="0"/>
        <w:numPr>
          <w:ilvl w:val="0"/>
          <w:numId w:val="1"/>
        </w:numPr>
        <w:suppressAutoHyphens/>
        <w:spacing w:after="0"/>
        <w:ind w:left="540" w:hanging="567"/>
        <w:jc w:val="both"/>
        <w:rPr>
          <w:rFonts w:ascii="Tahoma" w:hAnsi="Tahoma" w:cs="Tahoma"/>
          <w:sz w:val="22"/>
          <w:szCs w:val="22"/>
        </w:rPr>
      </w:pPr>
      <w:r>
        <w:rPr>
          <w:rFonts w:ascii="Tahoma" w:hAnsi="Tahoma" w:cs="Tahoma"/>
          <w:sz w:val="22"/>
          <w:szCs w:val="22"/>
          <w:lang w:val="es-ES_tradnl"/>
        </w:rPr>
        <w:t>Asimismo, la Entidad señaló que</w:t>
      </w:r>
      <w:r>
        <w:rPr>
          <w:rFonts w:ascii="Tahoma" w:hAnsi="Tahoma" w:cs="Tahoma"/>
          <w:sz w:val="22"/>
          <w:szCs w:val="22"/>
        </w:rPr>
        <w:t xml:space="preserve"> la Oficina de Recursos Médicos ha evaluado la propuesta técnica del Impugnante, evidenciándose en los folios 31 y 103, que el fabricante del producto ofertado señaló que el componente OBTURADOR (MINICAP) no requiere de esterilización, por cuanto contiene un potente y efectivo desinfectante, bactericida, fungicida y antiséptico (solución de yodopovidona al 10% USP), por lo tanto, según lo establecido en las Bases, el “Obturador” ofertado por el Impugnante no cumple.</w:t>
      </w:r>
    </w:p>
    <w:p w:rsidR="002E78D8" w:rsidRDefault="002E78D8" w:rsidP="002E78D8">
      <w:pPr>
        <w:pStyle w:val="Sangradetextonormal"/>
        <w:widowControl w:val="0"/>
        <w:suppressAutoHyphens/>
        <w:spacing w:after="0"/>
        <w:ind w:left="540"/>
        <w:jc w:val="both"/>
        <w:rPr>
          <w:rFonts w:ascii="Tahoma" w:hAnsi="Tahoma" w:cs="Tahoma"/>
          <w:sz w:val="22"/>
          <w:szCs w:val="22"/>
        </w:rPr>
      </w:pPr>
    </w:p>
    <w:p w:rsidR="002E78D8" w:rsidRDefault="002E78D8" w:rsidP="002E78D8">
      <w:pPr>
        <w:pStyle w:val="Sangradetextonormal"/>
        <w:widowControl w:val="0"/>
        <w:numPr>
          <w:ilvl w:val="0"/>
          <w:numId w:val="1"/>
        </w:numPr>
        <w:suppressAutoHyphens/>
        <w:spacing w:after="0"/>
        <w:ind w:left="540" w:hanging="567"/>
        <w:jc w:val="both"/>
        <w:rPr>
          <w:rFonts w:ascii="Tahoma" w:hAnsi="Tahoma" w:cs="Tahoma"/>
          <w:sz w:val="22"/>
          <w:szCs w:val="22"/>
        </w:rPr>
      </w:pPr>
      <w:r w:rsidRPr="003A708B">
        <w:rPr>
          <w:rFonts w:ascii="Tahoma" w:hAnsi="Tahoma" w:cs="Tahoma"/>
          <w:sz w:val="22"/>
          <w:szCs w:val="22"/>
        </w:rPr>
        <w:t>Por otra parte, el Impugnante señaló que a fojas 31 de su propuesta, se adjuntó el formato de “Declaración Jurada de Presentación del Producto y de Compromiso de Plazo de Entrega”, en el cual, respecto a la esterilidad del componente “Obturador”, remite al folio 103, documento en el cual se consignó que la Yodopovidona es un potente y eficaz desinfectante, bactericida, fungicida y antiséptico que impide el crecimiento de cualquier microorganismo, lo cual se demuestra mediante el estudio de estabilidad presentado en su solicitud de Registro Sanitario, por lo que su producto no requería un método de esterilización terminal.</w:t>
      </w:r>
    </w:p>
    <w:p w:rsidR="002E78D8" w:rsidRDefault="002E78D8" w:rsidP="002E78D8">
      <w:pPr>
        <w:tabs>
          <w:tab w:val="num" w:pos="567"/>
        </w:tabs>
        <w:ind w:left="1134" w:hanging="567"/>
        <w:jc w:val="both"/>
        <w:rPr>
          <w:rFonts w:ascii="Tahoma" w:hAnsi="Tahoma" w:cs="Tahoma"/>
          <w:sz w:val="22"/>
          <w:szCs w:val="22"/>
        </w:rPr>
      </w:pPr>
    </w:p>
    <w:p w:rsidR="002E78D8" w:rsidRDefault="002E78D8" w:rsidP="002E78D8">
      <w:pPr>
        <w:ind w:left="567"/>
        <w:jc w:val="both"/>
        <w:rPr>
          <w:rFonts w:ascii="Tahoma" w:hAnsi="Tahoma" w:cs="Tahoma"/>
          <w:sz w:val="22"/>
          <w:szCs w:val="22"/>
        </w:rPr>
      </w:pPr>
      <w:r>
        <w:rPr>
          <w:rFonts w:ascii="Tahoma" w:hAnsi="Tahoma" w:cs="Tahoma"/>
          <w:sz w:val="22"/>
          <w:szCs w:val="22"/>
        </w:rPr>
        <w:t>En tal sentido, agregó que tanto en las especificaciones de su producto, como en su presentación, declararon que la esterilización se especifica en el folio 103 de su propuesta, ya que el producto MINICAP cuenta con un poderoso desinfectante que lo hace apto para el tratamiento de pacientes.</w:t>
      </w:r>
    </w:p>
    <w:p w:rsidR="002E78D8" w:rsidRDefault="002E78D8" w:rsidP="002E78D8">
      <w:pPr>
        <w:ind w:left="567"/>
        <w:jc w:val="both"/>
        <w:rPr>
          <w:rFonts w:ascii="Tahoma" w:hAnsi="Tahoma" w:cs="Tahoma"/>
          <w:sz w:val="22"/>
          <w:szCs w:val="22"/>
        </w:rPr>
      </w:pPr>
    </w:p>
    <w:p w:rsidR="002E78D8" w:rsidRDefault="002E78D8" w:rsidP="002E78D8">
      <w:pPr>
        <w:ind w:left="567"/>
        <w:jc w:val="both"/>
        <w:rPr>
          <w:rFonts w:ascii="Tahoma" w:hAnsi="Tahoma" w:cs="Tahoma"/>
          <w:sz w:val="22"/>
          <w:szCs w:val="22"/>
        </w:rPr>
      </w:pPr>
      <w:r>
        <w:rPr>
          <w:rFonts w:ascii="Tahoma" w:hAnsi="Tahoma" w:cs="Tahoma"/>
          <w:sz w:val="22"/>
          <w:szCs w:val="22"/>
        </w:rPr>
        <w:t>Así también, adjuntó la prueba de estabilidad presentada ante DIGEMID para obtener el Registro Sanitario, donde se verifica que el producto se mantiene estéril a lo largo de su vida útil, encontrándose que si bien, no se emplea un método de esterilización del producto final, la Yodopovidona cumple su rol desinfectante, manteniendo la esterilidad del obturador a través del tiempo.</w:t>
      </w:r>
    </w:p>
    <w:p w:rsidR="002E78D8" w:rsidRDefault="002E78D8" w:rsidP="002E78D8">
      <w:pPr>
        <w:pStyle w:val="Sangradetextonormal"/>
        <w:widowControl w:val="0"/>
        <w:suppressAutoHyphens/>
        <w:spacing w:after="0"/>
        <w:ind w:left="567"/>
        <w:jc w:val="both"/>
        <w:rPr>
          <w:rFonts w:ascii="Tahoma" w:hAnsi="Tahoma" w:cs="Tahoma"/>
          <w:sz w:val="22"/>
          <w:szCs w:val="22"/>
        </w:rPr>
      </w:pPr>
    </w:p>
    <w:p w:rsidR="002E78D8" w:rsidRDefault="002E78D8" w:rsidP="002E78D8">
      <w:pPr>
        <w:pStyle w:val="Sangradetextonormal"/>
        <w:widowControl w:val="0"/>
        <w:numPr>
          <w:ilvl w:val="0"/>
          <w:numId w:val="1"/>
        </w:numPr>
        <w:suppressAutoHyphens/>
        <w:spacing w:after="0"/>
        <w:ind w:left="540" w:hanging="567"/>
        <w:jc w:val="both"/>
        <w:rPr>
          <w:rFonts w:ascii="Tahoma" w:hAnsi="Tahoma" w:cs="Tahoma"/>
          <w:sz w:val="22"/>
          <w:szCs w:val="22"/>
        </w:rPr>
      </w:pPr>
      <w:r>
        <w:rPr>
          <w:rFonts w:ascii="Tahoma" w:hAnsi="Tahoma" w:cs="Tahoma"/>
          <w:sz w:val="22"/>
          <w:szCs w:val="22"/>
        </w:rPr>
        <w:t>Respecto a todo lo señalado, cabe precisar que obra a fojas 031 de la propuesta técnica del Impugnante, la “DECLARACIÓN JURADA DE PRESENTACIÓN DEL PRODUCTO Y DE COMPROMISO DE PLAZO DE ENTREGA” del “Obturador para la línea de prolongador o su equivalente funcional” cuyo nombre comercial es “MINICP PRE KIT·, se consignó, entre otros datos, lo siguiente:</w:t>
      </w:r>
    </w:p>
    <w:p w:rsidR="002E78D8" w:rsidRDefault="002E78D8" w:rsidP="002E78D8">
      <w:pPr>
        <w:pStyle w:val="Sangradetextonormal"/>
        <w:widowControl w:val="0"/>
        <w:suppressAutoHyphens/>
        <w:spacing w:after="0"/>
        <w:ind w:left="540"/>
        <w:jc w:val="both"/>
        <w:rPr>
          <w:rFonts w:ascii="Tahoma" w:hAnsi="Tahoma" w:cs="Tahoma"/>
          <w:sz w:val="22"/>
          <w:szCs w:val="22"/>
        </w:rPr>
      </w:pPr>
    </w:p>
    <w:p w:rsidR="002E78D8" w:rsidRDefault="002E78D8" w:rsidP="002E78D8">
      <w:pPr>
        <w:pStyle w:val="Sangradetextonormal"/>
        <w:widowControl w:val="0"/>
        <w:suppressAutoHyphens/>
        <w:spacing w:after="0"/>
        <w:ind w:left="540"/>
        <w:jc w:val="both"/>
        <w:rPr>
          <w:rFonts w:ascii="Tahoma" w:hAnsi="Tahoma" w:cs="Tahoma"/>
          <w:sz w:val="22"/>
          <w:szCs w:val="22"/>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28"/>
        <w:gridCol w:w="850"/>
        <w:gridCol w:w="3368"/>
      </w:tblGrid>
      <w:tr w:rsidR="002E78D8" w:rsidTr="00D01115">
        <w:tc>
          <w:tcPr>
            <w:tcW w:w="3828" w:type="dxa"/>
          </w:tcPr>
          <w:p w:rsidR="002E78D8" w:rsidRPr="00D01115" w:rsidRDefault="002E78D8" w:rsidP="00D01115">
            <w:pPr>
              <w:pStyle w:val="Sangradetextonormal"/>
              <w:widowControl w:val="0"/>
              <w:suppressAutoHyphens/>
              <w:spacing w:after="0"/>
              <w:ind w:left="0"/>
              <w:jc w:val="both"/>
              <w:rPr>
                <w:rFonts w:ascii="Tahoma" w:hAnsi="Tahoma" w:cs="Tahoma"/>
                <w:i/>
                <w:sz w:val="18"/>
                <w:szCs w:val="18"/>
              </w:rPr>
            </w:pPr>
            <w:r w:rsidRPr="00D01115">
              <w:rPr>
                <w:rFonts w:ascii="Tahoma" w:hAnsi="Tahoma" w:cs="Tahoma"/>
                <w:i/>
                <w:sz w:val="18"/>
                <w:szCs w:val="18"/>
              </w:rPr>
              <w:t>METODO DE ESTERILIZACIÓN</w:t>
            </w:r>
          </w:p>
          <w:p w:rsidR="002E78D8" w:rsidRPr="00D01115" w:rsidRDefault="002E78D8" w:rsidP="00D01115">
            <w:pPr>
              <w:pStyle w:val="Sangradetextonormal"/>
              <w:widowControl w:val="0"/>
              <w:suppressAutoHyphens/>
              <w:spacing w:after="0"/>
              <w:ind w:left="0"/>
              <w:jc w:val="both"/>
              <w:rPr>
                <w:rFonts w:ascii="Tahoma" w:hAnsi="Tahoma" w:cs="Tahoma"/>
                <w:i/>
                <w:sz w:val="18"/>
                <w:szCs w:val="18"/>
              </w:rPr>
            </w:pPr>
            <w:r w:rsidRPr="00D01115">
              <w:rPr>
                <w:rFonts w:ascii="Tahoma" w:hAnsi="Tahoma" w:cs="Tahoma"/>
                <w:i/>
                <w:sz w:val="18"/>
                <w:szCs w:val="18"/>
              </w:rPr>
              <w:t>Si la vigencia es indefinida señalar el método de esterilización y sustentar en hoja aparte</w:t>
            </w:r>
          </w:p>
        </w:tc>
        <w:tc>
          <w:tcPr>
            <w:tcW w:w="850" w:type="dxa"/>
          </w:tcPr>
          <w:p w:rsidR="002E78D8" w:rsidRPr="00D01115" w:rsidRDefault="002E78D8" w:rsidP="00D01115">
            <w:pPr>
              <w:pStyle w:val="Sangradetextonormal"/>
              <w:widowControl w:val="0"/>
              <w:suppressAutoHyphens/>
              <w:spacing w:after="0"/>
              <w:ind w:left="0"/>
              <w:jc w:val="both"/>
              <w:rPr>
                <w:rFonts w:ascii="Tahoma" w:hAnsi="Tahoma" w:cs="Tahoma"/>
                <w:i/>
                <w:sz w:val="18"/>
                <w:szCs w:val="18"/>
              </w:rPr>
            </w:pPr>
          </w:p>
        </w:tc>
        <w:tc>
          <w:tcPr>
            <w:tcW w:w="3368" w:type="dxa"/>
          </w:tcPr>
          <w:p w:rsidR="002E78D8" w:rsidRPr="00D01115" w:rsidRDefault="002E78D8" w:rsidP="00D01115">
            <w:pPr>
              <w:pStyle w:val="Sangradetextonormal"/>
              <w:widowControl w:val="0"/>
              <w:suppressAutoHyphens/>
              <w:spacing w:after="0"/>
              <w:ind w:left="0"/>
              <w:jc w:val="both"/>
              <w:rPr>
                <w:rFonts w:ascii="Tahoma" w:hAnsi="Tahoma" w:cs="Tahoma"/>
                <w:i/>
                <w:sz w:val="18"/>
                <w:szCs w:val="18"/>
              </w:rPr>
            </w:pPr>
            <w:r w:rsidRPr="00D01115">
              <w:rPr>
                <w:rFonts w:ascii="Tahoma" w:hAnsi="Tahoma" w:cs="Tahoma"/>
                <w:i/>
                <w:sz w:val="18"/>
                <w:szCs w:val="18"/>
              </w:rPr>
              <w:t xml:space="preserve">ESTERILIDAD DEMOSTRADA MEDIANTE CARTA DEL FABRICANTE </w:t>
            </w:r>
          </w:p>
          <w:p w:rsidR="002E78D8" w:rsidRPr="00D01115" w:rsidRDefault="002E78D8" w:rsidP="00D01115">
            <w:pPr>
              <w:pStyle w:val="Sangradetextonormal"/>
              <w:widowControl w:val="0"/>
              <w:suppressAutoHyphens/>
              <w:spacing w:after="0"/>
              <w:ind w:left="0"/>
              <w:jc w:val="both"/>
              <w:rPr>
                <w:rFonts w:ascii="Tahoma" w:hAnsi="Tahoma" w:cs="Tahoma"/>
                <w:i/>
                <w:sz w:val="18"/>
                <w:szCs w:val="18"/>
              </w:rPr>
            </w:pPr>
            <w:r w:rsidRPr="00D01115">
              <w:rPr>
                <w:rFonts w:ascii="Tahoma" w:hAnsi="Tahoma" w:cs="Tahoma"/>
                <w:i/>
                <w:sz w:val="18"/>
                <w:szCs w:val="18"/>
              </w:rPr>
              <w:t>Ver folio Nº 103</w:t>
            </w:r>
          </w:p>
        </w:tc>
      </w:tr>
    </w:tbl>
    <w:p w:rsidR="002E78D8" w:rsidRDefault="002E78D8" w:rsidP="002E78D8">
      <w:pPr>
        <w:pStyle w:val="Sangradetextonormal"/>
        <w:widowControl w:val="0"/>
        <w:suppressAutoHyphens/>
        <w:spacing w:after="0"/>
        <w:ind w:left="540"/>
        <w:jc w:val="both"/>
        <w:rPr>
          <w:rFonts w:ascii="Tahoma" w:hAnsi="Tahoma" w:cs="Tahoma"/>
          <w:sz w:val="22"/>
          <w:szCs w:val="22"/>
        </w:rPr>
      </w:pPr>
    </w:p>
    <w:p w:rsidR="002E78D8" w:rsidRDefault="002E78D8" w:rsidP="002E78D8">
      <w:pPr>
        <w:pStyle w:val="Sangradetextonormal"/>
        <w:widowControl w:val="0"/>
        <w:suppressAutoHyphens/>
        <w:spacing w:after="0"/>
        <w:ind w:left="540"/>
        <w:jc w:val="both"/>
        <w:rPr>
          <w:rFonts w:ascii="Tahoma" w:hAnsi="Tahoma" w:cs="Tahoma"/>
          <w:sz w:val="22"/>
          <w:szCs w:val="22"/>
        </w:rPr>
      </w:pPr>
    </w:p>
    <w:p w:rsidR="002E78D8" w:rsidRDefault="002E78D8" w:rsidP="002E78D8">
      <w:pPr>
        <w:pStyle w:val="Sangradetextonormal"/>
        <w:widowControl w:val="0"/>
        <w:numPr>
          <w:ilvl w:val="0"/>
          <w:numId w:val="1"/>
        </w:numPr>
        <w:suppressAutoHyphens/>
        <w:spacing w:after="0"/>
        <w:ind w:left="540" w:hanging="567"/>
        <w:jc w:val="both"/>
        <w:rPr>
          <w:rFonts w:ascii="Tahoma" w:hAnsi="Tahoma" w:cs="Tahoma"/>
          <w:sz w:val="22"/>
          <w:szCs w:val="22"/>
        </w:rPr>
      </w:pPr>
      <w:r w:rsidRPr="00AD02D8">
        <w:rPr>
          <w:rFonts w:ascii="Tahoma" w:hAnsi="Tahoma" w:cs="Tahoma"/>
          <w:sz w:val="22"/>
          <w:szCs w:val="22"/>
        </w:rPr>
        <w:t>Asimismo, a fojas 103 de la propuesta técnica del Impugnante, obra la Carta del Fabricante en el cual se consignó lo siguiente:</w:t>
      </w:r>
    </w:p>
    <w:p w:rsidR="002E78D8" w:rsidRPr="00AD02D8" w:rsidRDefault="002E78D8" w:rsidP="002E78D8">
      <w:pPr>
        <w:pStyle w:val="Sangradetextonormal"/>
        <w:widowControl w:val="0"/>
        <w:suppressAutoHyphens/>
        <w:spacing w:after="0"/>
        <w:ind w:left="540"/>
        <w:jc w:val="center"/>
        <w:rPr>
          <w:rFonts w:ascii="Tahoma" w:hAnsi="Tahoma" w:cs="Tahoma"/>
          <w:i/>
          <w:sz w:val="18"/>
          <w:szCs w:val="18"/>
        </w:rPr>
      </w:pPr>
      <w:r>
        <w:rPr>
          <w:rFonts w:ascii="Tahoma" w:hAnsi="Tahoma" w:cs="Tahoma"/>
          <w:i/>
          <w:sz w:val="18"/>
          <w:szCs w:val="18"/>
        </w:rPr>
        <w:lastRenderedPageBreak/>
        <w:t>“</w:t>
      </w:r>
      <w:r w:rsidRPr="00AD02D8">
        <w:rPr>
          <w:rFonts w:ascii="Tahoma" w:hAnsi="Tahoma" w:cs="Tahoma"/>
          <w:i/>
          <w:sz w:val="18"/>
          <w:szCs w:val="18"/>
        </w:rPr>
        <w:t>CERTIFICACIÓN</w:t>
      </w:r>
    </w:p>
    <w:p w:rsidR="002E78D8" w:rsidRPr="00AD02D8" w:rsidRDefault="002E78D8" w:rsidP="002E78D8">
      <w:pPr>
        <w:pStyle w:val="Sangradetextonormal"/>
        <w:widowControl w:val="0"/>
        <w:suppressAutoHyphens/>
        <w:spacing w:after="0"/>
        <w:ind w:left="540"/>
        <w:jc w:val="both"/>
        <w:rPr>
          <w:rFonts w:ascii="Tahoma" w:hAnsi="Tahoma" w:cs="Tahoma"/>
          <w:i/>
          <w:sz w:val="18"/>
          <w:szCs w:val="18"/>
        </w:rPr>
      </w:pPr>
    </w:p>
    <w:p w:rsidR="002E78D8" w:rsidRPr="00AD02D8" w:rsidRDefault="002E78D8" w:rsidP="002E78D8">
      <w:pPr>
        <w:pStyle w:val="Sangradetextonormal"/>
        <w:widowControl w:val="0"/>
        <w:suppressAutoHyphens/>
        <w:spacing w:after="0"/>
        <w:ind w:left="851" w:right="283"/>
        <w:jc w:val="both"/>
        <w:rPr>
          <w:rFonts w:ascii="Tahoma" w:hAnsi="Tahoma" w:cs="Tahoma"/>
          <w:i/>
          <w:sz w:val="18"/>
          <w:szCs w:val="18"/>
        </w:rPr>
      </w:pPr>
      <w:r w:rsidRPr="00AD02D8">
        <w:rPr>
          <w:rFonts w:ascii="Tahoma" w:hAnsi="Tahoma" w:cs="Tahoma"/>
          <w:i/>
          <w:sz w:val="18"/>
          <w:szCs w:val="18"/>
        </w:rPr>
        <w:t>LABORATORIOS BAXTER S.A. (Colombia), certifica que el producto MINICAP no requiere de esterilización por cuanto contiene un potente y efectivo desinfectante, bactericida, fungicida y antiséptico (Solución de yodopovidona al 10% USP).</w:t>
      </w:r>
    </w:p>
    <w:p w:rsidR="002E78D8" w:rsidRPr="00AD02D8" w:rsidRDefault="002E78D8" w:rsidP="002E78D8">
      <w:pPr>
        <w:pStyle w:val="Sangradetextonormal"/>
        <w:widowControl w:val="0"/>
        <w:suppressAutoHyphens/>
        <w:spacing w:after="0"/>
        <w:ind w:left="851" w:right="283"/>
        <w:jc w:val="both"/>
        <w:rPr>
          <w:rFonts w:ascii="Tahoma" w:hAnsi="Tahoma" w:cs="Tahoma"/>
          <w:i/>
          <w:sz w:val="18"/>
          <w:szCs w:val="18"/>
        </w:rPr>
      </w:pPr>
    </w:p>
    <w:p w:rsidR="002E78D8" w:rsidRPr="00AD02D8" w:rsidRDefault="002E78D8" w:rsidP="002E78D8">
      <w:pPr>
        <w:pStyle w:val="Sangradetextonormal"/>
        <w:widowControl w:val="0"/>
        <w:suppressAutoHyphens/>
        <w:spacing w:after="0"/>
        <w:ind w:left="851" w:right="283"/>
        <w:jc w:val="both"/>
        <w:rPr>
          <w:rFonts w:ascii="Tahoma" w:hAnsi="Tahoma" w:cs="Tahoma"/>
          <w:i/>
          <w:sz w:val="18"/>
          <w:szCs w:val="18"/>
        </w:rPr>
      </w:pPr>
      <w:r w:rsidRPr="00AD02D8">
        <w:rPr>
          <w:rFonts w:ascii="Tahoma" w:hAnsi="Tahoma" w:cs="Tahoma"/>
          <w:i/>
          <w:sz w:val="18"/>
          <w:szCs w:val="18"/>
        </w:rPr>
        <w:t>La yodopovidona ha sido sometida a análisis de esterilidad en nuestros laboratorios, reto que nos ha arrojado resultados de 0 UFC (unidades formadoras de colonias) que permiten garantizar su esterilidad.</w:t>
      </w:r>
    </w:p>
    <w:p w:rsidR="002E78D8" w:rsidRPr="00AD02D8" w:rsidRDefault="002E78D8" w:rsidP="002E78D8">
      <w:pPr>
        <w:pStyle w:val="Sangradetextonormal"/>
        <w:widowControl w:val="0"/>
        <w:suppressAutoHyphens/>
        <w:spacing w:after="0"/>
        <w:ind w:left="851" w:right="283"/>
        <w:jc w:val="both"/>
        <w:rPr>
          <w:rFonts w:ascii="Tahoma" w:hAnsi="Tahoma" w:cs="Tahoma"/>
          <w:i/>
          <w:sz w:val="18"/>
          <w:szCs w:val="18"/>
        </w:rPr>
      </w:pPr>
    </w:p>
    <w:p w:rsidR="002E78D8" w:rsidRPr="00AD02D8" w:rsidRDefault="002E78D8" w:rsidP="002E78D8">
      <w:pPr>
        <w:pStyle w:val="Sangradetextonormal"/>
        <w:widowControl w:val="0"/>
        <w:suppressAutoHyphens/>
        <w:spacing w:after="0"/>
        <w:ind w:left="851" w:right="283"/>
        <w:jc w:val="both"/>
        <w:rPr>
          <w:rFonts w:ascii="Tahoma" w:hAnsi="Tahoma" w:cs="Tahoma"/>
          <w:i/>
          <w:sz w:val="18"/>
          <w:szCs w:val="18"/>
        </w:rPr>
      </w:pPr>
      <w:r w:rsidRPr="00AD02D8">
        <w:rPr>
          <w:rFonts w:ascii="Tahoma" w:hAnsi="Tahoma" w:cs="Tahoma"/>
          <w:i/>
          <w:sz w:val="18"/>
          <w:szCs w:val="18"/>
        </w:rPr>
        <w:t>La yodopovidona e una antiséptico que actúa como agente inhibidor o destructor de organismos patógenos y no patógenos, en tejidos vivos como piel, cavidades orales y heridas abiertas, y como tal, se describen sus requerimiento por entes internacionales como AFNOR (Francia), AOAC (USA), DGHM (Alemania), etc.</w:t>
      </w:r>
    </w:p>
    <w:p w:rsidR="002E78D8" w:rsidRPr="00AD02D8" w:rsidRDefault="002E78D8" w:rsidP="002E78D8">
      <w:pPr>
        <w:pStyle w:val="Sangradetextonormal"/>
        <w:widowControl w:val="0"/>
        <w:suppressAutoHyphens/>
        <w:spacing w:after="0"/>
        <w:ind w:left="851" w:right="283"/>
        <w:jc w:val="both"/>
        <w:rPr>
          <w:rFonts w:ascii="Tahoma" w:hAnsi="Tahoma" w:cs="Tahoma"/>
          <w:i/>
          <w:sz w:val="18"/>
          <w:szCs w:val="18"/>
        </w:rPr>
      </w:pPr>
    </w:p>
    <w:p w:rsidR="002E78D8" w:rsidRPr="00AD02D8" w:rsidRDefault="002E78D8" w:rsidP="002E78D8">
      <w:pPr>
        <w:pStyle w:val="Sangradetextonormal"/>
        <w:widowControl w:val="0"/>
        <w:suppressAutoHyphens/>
        <w:spacing w:after="0"/>
        <w:ind w:left="851" w:right="283"/>
        <w:jc w:val="both"/>
        <w:rPr>
          <w:rFonts w:ascii="Tahoma" w:hAnsi="Tahoma" w:cs="Tahoma"/>
          <w:i/>
          <w:sz w:val="18"/>
          <w:szCs w:val="18"/>
        </w:rPr>
      </w:pPr>
      <w:r w:rsidRPr="00AD02D8">
        <w:rPr>
          <w:rFonts w:ascii="Tahoma" w:hAnsi="Tahoma" w:cs="Tahoma"/>
          <w:i/>
          <w:sz w:val="18"/>
          <w:szCs w:val="18"/>
        </w:rPr>
        <w:t>LABORATORIOS BAXTER S.A., declara que cada lote de yodopovidona es analizado y ensayado tanto química como microbiológicamente previo a su uso en procesos de fabricaci</w:t>
      </w:r>
      <w:r>
        <w:rPr>
          <w:rFonts w:ascii="Tahoma" w:hAnsi="Tahoma" w:cs="Tahoma"/>
          <w:i/>
          <w:sz w:val="18"/>
          <w:szCs w:val="18"/>
        </w:rPr>
        <w:t>ón”.</w:t>
      </w:r>
    </w:p>
    <w:p w:rsidR="002E78D8" w:rsidRDefault="002E78D8" w:rsidP="002E78D8">
      <w:pPr>
        <w:pStyle w:val="Sangradetextonormal"/>
        <w:widowControl w:val="0"/>
        <w:suppressAutoHyphens/>
        <w:spacing w:after="0"/>
        <w:ind w:left="540"/>
        <w:jc w:val="both"/>
        <w:rPr>
          <w:rFonts w:ascii="Tahoma" w:hAnsi="Tahoma" w:cs="Tahoma"/>
          <w:sz w:val="22"/>
          <w:szCs w:val="22"/>
        </w:rPr>
      </w:pPr>
    </w:p>
    <w:p w:rsidR="002E78D8" w:rsidRDefault="002E78D8" w:rsidP="002E78D8">
      <w:pPr>
        <w:pStyle w:val="Sangradetextonormal"/>
        <w:widowControl w:val="0"/>
        <w:numPr>
          <w:ilvl w:val="0"/>
          <w:numId w:val="1"/>
        </w:numPr>
        <w:suppressAutoHyphens/>
        <w:spacing w:after="0"/>
        <w:ind w:left="540" w:hanging="567"/>
        <w:jc w:val="both"/>
        <w:rPr>
          <w:rFonts w:ascii="Tahoma" w:hAnsi="Tahoma" w:cs="Tahoma"/>
          <w:sz w:val="22"/>
          <w:szCs w:val="22"/>
        </w:rPr>
      </w:pPr>
      <w:r>
        <w:rPr>
          <w:rFonts w:ascii="Tahoma" w:hAnsi="Tahoma" w:cs="Tahoma"/>
          <w:sz w:val="22"/>
          <w:szCs w:val="22"/>
        </w:rPr>
        <w:t>Por otra parte, a fojas 100 de la propuesta técnica del Impugnante, obra el Protocolo de Análisis y Sistema de Lotificación, del producto “MINICAP PRE KIT”, en el cual se detallo lo siguiente:</w:t>
      </w:r>
    </w:p>
    <w:p w:rsidR="002E78D8" w:rsidRDefault="002E78D8" w:rsidP="002E78D8">
      <w:pPr>
        <w:pStyle w:val="Sangradetextonormal"/>
        <w:widowControl w:val="0"/>
        <w:suppressAutoHyphens/>
        <w:spacing w:after="0"/>
        <w:jc w:val="both"/>
        <w:rPr>
          <w:rFonts w:ascii="Tahoma" w:hAnsi="Tahoma" w:cs="Tahoma"/>
          <w:sz w:val="22"/>
          <w:szCs w:val="22"/>
        </w:rPr>
      </w:pPr>
    </w:p>
    <w:p w:rsidR="002E78D8" w:rsidRDefault="00287BDB" w:rsidP="002E78D8">
      <w:pPr>
        <w:pStyle w:val="Sangradetextonormal"/>
        <w:widowControl w:val="0"/>
        <w:suppressAutoHyphens/>
        <w:spacing w:after="0"/>
        <w:jc w:val="center"/>
        <w:rPr>
          <w:rFonts w:ascii="Tahoma" w:hAnsi="Tahoma" w:cs="Tahoma"/>
          <w:sz w:val="22"/>
          <w:szCs w:val="22"/>
        </w:rPr>
      </w:pPr>
      <w:r>
        <w:rPr>
          <w:rFonts w:ascii="Tahoma" w:hAnsi="Tahoma" w:cs="Tahoma"/>
          <w:noProof/>
          <w:sz w:val="22"/>
          <w:szCs w:val="22"/>
        </w:rPr>
        <w:drawing>
          <wp:inline distT="0" distB="0" distL="0" distR="0">
            <wp:extent cx="3673475" cy="4285615"/>
            <wp:effectExtent l="19050" t="0" r="3175" b="0"/>
            <wp:docPr id="3" name="Imagen 6" descr="C:\Documents and Settings\jtorrico\Escritorio\Archivos (ABL)\EXP-1605-2010\120-2011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descr="C:\Documents and Settings\jtorrico\Escritorio\Archivos (ABL)\EXP-1605-2010\120-2011 (3).jpg"/>
                    <pic:cNvPicPr>
                      <a:picLocks noChangeAspect="1" noChangeArrowheads="1"/>
                    </pic:cNvPicPr>
                  </pic:nvPicPr>
                  <pic:blipFill>
                    <a:blip r:embed="rId9"/>
                    <a:srcRect/>
                    <a:stretch>
                      <a:fillRect/>
                    </a:stretch>
                  </pic:blipFill>
                  <pic:spPr bwMode="auto">
                    <a:xfrm>
                      <a:off x="0" y="0"/>
                      <a:ext cx="3673475" cy="4285615"/>
                    </a:xfrm>
                    <a:prstGeom prst="rect">
                      <a:avLst/>
                    </a:prstGeom>
                    <a:noFill/>
                    <a:ln w="9525">
                      <a:noFill/>
                      <a:miter lim="800000"/>
                      <a:headEnd/>
                      <a:tailEnd/>
                    </a:ln>
                  </pic:spPr>
                </pic:pic>
              </a:graphicData>
            </a:graphic>
          </wp:inline>
        </w:drawing>
      </w:r>
    </w:p>
    <w:p w:rsidR="002E78D8" w:rsidRDefault="002E78D8" w:rsidP="002E78D8">
      <w:pPr>
        <w:pStyle w:val="Sangradetextonormal"/>
        <w:widowControl w:val="0"/>
        <w:numPr>
          <w:ilvl w:val="0"/>
          <w:numId w:val="1"/>
        </w:numPr>
        <w:suppressAutoHyphens/>
        <w:spacing w:after="0"/>
        <w:ind w:left="540" w:hanging="567"/>
        <w:jc w:val="both"/>
        <w:rPr>
          <w:rFonts w:ascii="Tahoma" w:hAnsi="Tahoma" w:cs="Tahoma"/>
          <w:sz w:val="22"/>
          <w:szCs w:val="22"/>
        </w:rPr>
      </w:pPr>
      <w:r>
        <w:rPr>
          <w:rFonts w:ascii="Tahoma" w:hAnsi="Tahoma" w:cs="Tahoma"/>
          <w:sz w:val="22"/>
          <w:szCs w:val="22"/>
        </w:rPr>
        <w:lastRenderedPageBreak/>
        <w:t xml:space="preserve">Tal como se señaló anteriormente, </w:t>
      </w:r>
      <w:r w:rsidRPr="008C7464">
        <w:rPr>
          <w:rFonts w:ascii="Tahoma" w:hAnsi="Tahoma" w:cs="Tahoma"/>
          <w:sz w:val="22"/>
          <w:szCs w:val="22"/>
        </w:rPr>
        <w:t>las Bases Integradas expresamente requirieron que respecto al componente Nº 06 “Obturador”, se debía acreditar su condición de material “estéril”, debiendo presentar para ello, el Protocolo de Análisis que contenga como mínimo las pruebas de carácter físico y esterilidad de dicho componente.</w:t>
      </w:r>
    </w:p>
    <w:p w:rsidR="002E78D8" w:rsidRDefault="002E78D8" w:rsidP="002E78D8">
      <w:pPr>
        <w:pStyle w:val="Sangradetextonormal"/>
        <w:widowControl w:val="0"/>
        <w:suppressAutoHyphens/>
        <w:spacing w:after="0"/>
        <w:ind w:left="540"/>
        <w:jc w:val="both"/>
        <w:rPr>
          <w:rFonts w:ascii="Tahoma" w:hAnsi="Tahoma" w:cs="Tahoma"/>
          <w:sz w:val="22"/>
          <w:szCs w:val="22"/>
        </w:rPr>
      </w:pPr>
    </w:p>
    <w:p w:rsidR="002E78D8" w:rsidRPr="008C5A33" w:rsidRDefault="002E78D8" w:rsidP="002E78D8">
      <w:pPr>
        <w:pStyle w:val="Sangradetextonormal"/>
        <w:widowControl w:val="0"/>
        <w:numPr>
          <w:ilvl w:val="0"/>
          <w:numId w:val="1"/>
        </w:numPr>
        <w:suppressAutoHyphens/>
        <w:spacing w:after="0"/>
        <w:ind w:left="540" w:hanging="567"/>
        <w:jc w:val="both"/>
        <w:rPr>
          <w:rFonts w:ascii="Tahoma" w:hAnsi="Tahoma" w:cs="Tahoma"/>
          <w:sz w:val="22"/>
          <w:szCs w:val="22"/>
        </w:rPr>
      </w:pPr>
      <w:r>
        <w:rPr>
          <w:rFonts w:ascii="Tahoma" w:hAnsi="Tahoma" w:cs="Tahoma"/>
          <w:sz w:val="22"/>
          <w:szCs w:val="22"/>
        </w:rPr>
        <w:t xml:space="preserve">Ahora bien, tal como se puede verificar a fojas 032 de la propuesta técnica del Impugnante, sobre las Especificaciones Técnicas Obturador de Plástico para Prolongador, se ha señalado que </w:t>
      </w:r>
      <w:r w:rsidRPr="008C7464">
        <w:rPr>
          <w:rFonts w:ascii="Tahoma" w:hAnsi="Tahoma" w:cs="Tahoma"/>
          <w:i/>
          <w:sz w:val="22"/>
          <w:szCs w:val="22"/>
        </w:rPr>
        <w:t>“</w:t>
      </w:r>
      <w:r w:rsidRPr="008C7464">
        <w:rPr>
          <w:rFonts w:ascii="Tahoma" w:hAnsi="Tahoma" w:cs="Tahoma"/>
          <w:i/>
          <w:sz w:val="18"/>
          <w:szCs w:val="18"/>
        </w:rPr>
        <w:t>SOBRE MINI CAP PRE KIT, ESTERIL, APIROGENO, CONTIENE PROTECTOR DE LINEA DE TRANSFERENCIA CON CIERRE EN ROSCA, ESPONJILLA IMPREGNADA EN IODOPOVIDONA FORMA ANATÓMICA DE 1.5 cms, EN EMPAQUE DE ALUMINIO, ADEMAS MASCARILLA DE PAPEL GRADO MEDICO CON ESLATIVOS ANATOMICOS, DESCARTABLE, Y TRES CINTAS ADHESIVAS ANTIALERGICAS UTILIZADAS COMO ELEMENTO INDISPENSABLE EN EL PROCEDIMIENTO DE CAMBIO DE BOLSA DE SOLUCION EN SISTEMA DE DESCONEXION”.</w:t>
      </w:r>
    </w:p>
    <w:p w:rsidR="002E78D8" w:rsidRDefault="002E78D8" w:rsidP="002E78D8">
      <w:pPr>
        <w:pStyle w:val="Prrafodelista"/>
        <w:rPr>
          <w:rFonts w:ascii="Tahoma" w:hAnsi="Tahoma" w:cs="Tahoma"/>
          <w:sz w:val="22"/>
          <w:szCs w:val="22"/>
        </w:rPr>
      </w:pPr>
    </w:p>
    <w:p w:rsidR="002E78D8" w:rsidRDefault="002E78D8" w:rsidP="002E78D8">
      <w:pPr>
        <w:pStyle w:val="Sangradetextonormal"/>
        <w:widowControl w:val="0"/>
        <w:numPr>
          <w:ilvl w:val="0"/>
          <w:numId w:val="1"/>
        </w:numPr>
        <w:suppressAutoHyphens/>
        <w:spacing w:after="0"/>
        <w:ind w:left="540" w:hanging="567"/>
        <w:jc w:val="both"/>
        <w:rPr>
          <w:rFonts w:ascii="Tahoma" w:hAnsi="Tahoma" w:cs="Tahoma"/>
          <w:sz w:val="22"/>
          <w:szCs w:val="22"/>
        </w:rPr>
      </w:pPr>
      <w:r w:rsidRPr="008C5A33">
        <w:rPr>
          <w:rFonts w:ascii="Tahoma" w:hAnsi="Tahoma" w:cs="Tahoma"/>
          <w:sz w:val="22"/>
          <w:szCs w:val="22"/>
        </w:rPr>
        <w:t>Nótese entonces, que el Impugnante</w:t>
      </w:r>
      <w:r>
        <w:rPr>
          <w:rFonts w:ascii="Tahoma" w:hAnsi="Tahoma" w:cs="Tahoma"/>
          <w:sz w:val="22"/>
          <w:szCs w:val="22"/>
        </w:rPr>
        <w:t xml:space="preserve"> tampoco ha cumplido con acreditar que el componente “obturador” ofertado cumple con tener la condición de estéril, toda vez que</w:t>
      </w:r>
      <w:r w:rsidRPr="008C5A33">
        <w:rPr>
          <w:rFonts w:ascii="Tahoma" w:hAnsi="Tahoma" w:cs="Tahoma"/>
          <w:sz w:val="22"/>
          <w:szCs w:val="22"/>
        </w:rPr>
        <w:t xml:space="preserve"> a trav</w:t>
      </w:r>
      <w:r>
        <w:rPr>
          <w:rFonts w:ascii="Tahoma" w:hAnsi="Tahoma" w:cs="Tahoma"/>
          <w:sz w:val="22"/>
          <w:szCs w:val="22"/>
        </w:rPr>
        <w:t>és de los documentos que adjuntó</w:t>
      </w:r>
      <w:r w:rsidRPr="008C5A33">
        <w:rPr>
          <w:rFonts w:ascii="Tahoma" w:hAnsi="Tahoma" w:cs="Tahoma"/>
          <w:sz w:val="22"/>
          <w:szCs w:val="22"/>
        </w:rPr>
        <w:t xml:space="preserve"> a su propuesta técnica,</w:t>
      </w:r>
      <w:r>
        <w:rPr>
          <w:rFonts w:ascii="Tahoma" w:hAnsi="Tahoma" w:cs="Tahoma"/>
          <w:sz w:val="22"/>
          <w:szCs w:val="22"/>
        </w:rPr>
        <w:t xml:space="preserve"> sólo trata de demostrar</w:t>
      </w:r>
      <w:r w:rsidRPr="008C5A33">
        <w:rPr>
          <w:rFonts w:ascii="Tahoma" w:hAnsi="Tahoma" w:cs="Tahoma"/>
          <w:sz w:val="22"/>
          <w:szCs w:val="22"/>
        </w:rPr>
        <w:t xml:space="preserve"> </w:t>
      </w:r>
      <w:r>
        <w:rPr>
          <w:rFonts w:ascii="Tahoma" w:hAnsi="Tahoma" w:cs="Tahoma"/>
          <w:sz w:val="22"/>
          <w:szCs w:val="22"/>
        </w:rPr>
        <w:t>la esterilidad de</w:t>
      </w:r>
      <w:r w:rsidRPr="008C5A33">
        <w:rPr>
          <w:rFonts w:ascii="Tahoma" w:hAnsi="Tahoma" w:cs="Tahoma"/>
          <w:sz w:val="22"/>
          <w:szCs w:val="22"/>
        </w:rPr>
        <w:t xml:space="preserve"> uno de los elementos que </w:t>
      </w:r>
      <w:r>
        <w:rPr>
          <w:rFonts w:ascii="Tahoma" w:hAnsi="Tahoma" w:cs="Tahoma"/>
          <w:sz w:val="22"/>
          <w:szCs w:val="22"/>
        </w:rPr>
        <w:t>forman parte de dicho componente</w:t>
      </w:r>
      <w:r w:rsidRPr="008C5A33">
        <w:rPr>
          <w:rFonts w:ascii="Tahoma" w:hAnsi="Tahoma" w:cs="Tahoma"/>
          <w:sz w:val="22"/>
          <w:szCs w:val="22"/>
        </w:rPr>
        <w:t>, es decir la espon</w:t>
      </w:r>
      <w:r>
        <w:rPr>
          <w:rFonts w:ascii="Tahoma" w:hAnsi="Tahoma" w:cs="Tahoma"/>
          <w:sz w:val="22"/>
          <w:szCs w:val="22"/>
        </w:rPr>
        <w:t>jilla que</w:t>
      </w:r>
      <w:r w:rsidRPr="008C5A33">
        <w:rPr>
          <w:rFonts w:ascii="Tahoma" w:hAnsi="Tahoma" w:cs="Tahoma"/>
          <w:sz w:val="22"/>
          <w:szCs w:val="22"/>
        </w:rPr>
        <w:t xml:space="preserve"> está impregnada en iodopovidona, </w:t>
      </w:r>
      <w:r>
        <w:rPr>
          <w:rFonts w:ascii="Tahoma" w:hAnsi="Tahoma" w:cs="Tahoma"/>
          <w:sz w:val="22"/>
          <w:szCs w:val="22"/>
        </w:rPr>
        <w:t>al señalar que</w:t>
      </w:r>
      <w:r w:rsidRPr="008C5A33">
        <w:rPr>
          <w:rFonts w:ascii="Tahoma" w:hAnsi="Tahoma" w:cs="Tahoma"/>
          <w:sz w:val="22"/>
          <w:szCs w:val="22"/>
        </w:rPr>
        <w:t xml:space="preserve"> no requiere de esterilizaci</w:t>
      </w:r>
      <w:r>
        <w:rPr>
          <w:rFonts w:ascii="Tahoma" w:hAnsi="Tahoma" w:cs="Tahoma"/>
          <w:sz w:val="22"/>
          <w:szCs w:val="22"/>
        </w:rPr>
        <w:t>ón por cuant</w:t>
      </w:r>
      <w:r w:rsidRPr="008C5A33">
        <w:rPr>
          <w:rFonts w:ascii="Tahoma" w:hAnsi="Tahoma" w:cs="Tahoma"/>
          <w:sz w:val="22"/>
          <w:szCs w:val="22"/>
        </w:rPr>
        <w:t>o es un potente y efectivo desinfectante, bactericida, fungicida y antiséptico</w:t>
      </w:r>
      <w:r>
        <w:rPr>
          <w:rFonts w:ascii="Tahoma" w:hAnsi="Tahoma" w:cs="Tahoma"/>
          <w:sz w:val="22"/>
          <w:szCs w:val="22"/>
        </w:rPr>
        <w:t xml:space="preserve">; </w:t>
      </w:r>
      <w:r>
        <w:rPr>
          <w:rFonts w:ascii="Tahoma" w:hAnsi="Tahoma" w:cs="Tahoma"/>
          <w:sz w:val="22"/>
          <w:szCs w:val="22"/>
          <w:lang w:val="es-ES_tradnl"/>
        </w:rPr>
        <w:t>n</w:t>
      </w:r>
      <w:r>
        <w:rPr>
          <w:rFonts w:ascii="Tahoma" w:hAnsi="Tahoma" w:cs="Tahoma"/>
          <w:sz w:val="22"/>
          <w:szCs w:val="22"/>
        </w:rPr>
        <w:t>o obstante ello,</w:t>
      </w:r>
      <w:r w:rsidRPr="00093D03">
        <w:rPr>
          <w:rFonts w:ascii="Tahoma" w:hAnsi="Tahoma" w:cs="Tahoma"/>
          <w:sz w:val="22"/>
          <w:szCs w:val="22"/>
        </w:rPr>
        <w:t xml:space="preserve"> tal como se señaló anteriormente, en las Bases Integradas se estableció que lo que se debía acreditar como estéril no era uno de los elementos que conforman el componente “Obturador”, sino el “Obturador” en sí.</w:t>
      </w:r>
    </w:p>
    <w:p w:rsidR="002E78D8" w:rsidRPr="001D7C4C" w:rsidRDefault="002E78D8" w:rsidP="002E78D8">
      <w:pPr>
        <w:rPr>
          <w:rFonts w:ascii="Tahoma" w:hAnsi="Tahoma" w:cs="Tahoma"/>
          <w:sz w:val="22"/>
          <w:szCs w:val="22"/>
        </w:rPr>
      </w:pPr>
    </w:p>
    <w:p w:rsidR="002E78D8" w:rsidRDefault="002E78D8" w:rsidP="002E78D8">
      <w:pPr>
        <w:pStyle w:val="Sangradetextonormal"/>
        <w:widowControl w:val="0"/>
        <w:suppressAutoHyphens/>
        <w:spacing w:after="0"/>
        <w:ind w:left="540"/>
        <w:jc w:val="both"/>
        <w:rPr>
          <w:rFonts w:ascii="Tahoma" w:hAnsi="Tahoma" w:cs="Tahoma"/>
          <w:sz w:val="22"/>
          <w:szCs w:val="22"/>
        </w:rPr>
      </w:pPr>
      <w:r>
        <w:rPr>
          <w:rFonts w:ascii="Tahoma" w:hAnsi="Tahoma" w:cs="Tahoma"/>
          <w:sz w:val="22"/>
          <w:szCs w:val="22"/>
        </w:rPr>
        <w:t xml:space="preserve">Asimismo, en dichas Bases también se estableció que en el </w:t>
      </w:r>
      <w:r w:rsidRPr="008C5A33">
        <w:rPr>
          <w:rFonts w:ascii="Tahoma" w:hAnsi="Tahoma" w:cs="Tahoma"/>
          <w:sz w:val="22"/>
          <w:szCs w:val="22"/>
        </w:rPr>
        <w:t>Protocolo de Análisis de</w:t>
      </w:r>
      <w:r>
        <w:rPr>
          <w:rFonts w:ascii="Tahoma" w:hAnsi="Tahoma" w:cs="Tahoma"/>
          <w:sz w:val="22"/>
          <w:szCs w:val="22"/>
        </w:rPr>
        <w:t>l</w:t>
      </w:r>
      <w:r w:rsidRPr="008C5A33">
        <w:rPr>
          <w:rFonts w:ascii="Tahoma" w:hAnsi="Tahoma" w:cs="Tahoma"/>
          <w:sz w:val="22"/>
          <w:szCs w:val="22"/>
        </w:rPr>
        <w:t xml:space="preserve"> </w:t>
      </w:r>
      <w:r w:rsidRPr="00093D03">
        <w:rPr>
          <w:rFonts w:ascii="Tahoma" w:hAnsi="Tahoma" w:cs="Tahoma"/>
          <w:sz w:val="22"/>
          <w:szCs w:val="22"/>
        </w:rPr>
        <w:t>componente “Obturador”</w:t>
      </w:r>
      <w:r>
        <w:rPr>
          <w:rFonts w:ascii="Tahoma" w:hAnsi="Tahoma" w:cs="Tahoma"/>
          <w:sz w:val="22"/>
          <w:szCs w:val="22"/>
        </w:rPr>
        <w:t>, debía contener</w:t>
      </w:r>
      <w:r w:rsidRPr="008C5A33">
        <w:rPr>
          <w:rFonts w:ascii="Tahoma" w:hAnsi="Tahoma" w:cs="Tahoma"/>
          <w:sz w:val="22"/>
          <w:szCs w:val="22"/>
        </w:rPr>
        <w:t xml:space="preserve"> como mínimo las pruebas de carácter físico y esterilidad</w:t>
      </w:r>
      <w:r>
        <w:rPr>
          <w:rFonts w:ascii="Tahoma" w:hAnsi="Tahoma" w:cs="Tahoma"/>
          <w:sz w:val="22"/>
          <w:szCs w:val="22"/>
        </w:rPr>
        <w:t xml:space="preserve">, sin embargo, tal como se puede advertir del Protocolo de Análisis y Sistema de Lotificación, del producto “MINICAP PRE KIT”, obrante a fojas 10 de la Propuesta Técnica del Impugnante, no se consignó las pruebas que acrediten la condición de estéril de dicho componente. </w:t>
      </w:r>
    </w:p>
    <w:p w:rsidR="002E78D8" w:rsidRDefault="002E78D8" w:rsidP="002E78D8">
      <w:pPr>
        <w:pStyle w:val="Sangradetextonormal"/>
        <w:widowControl w:val="0"/>
        <w:suppressAutoHyphens/>
        <w:spacing w:after="0"/>
        <w:ind w:left="540"/>
        <w:jc w:val="both"/>
        <w:rPr>
          <w:rFonts w:ascii="Tahoma" w:hAnsi="Tahoma" w:cs="Tahoma"/>
          <w:sz w:val="22"/>
          <w:szCs w:val="22"/>
        </w:rPr>
      </w:pPr>
    </w:p>
    <w:p w:rsidR="002E78D8" w:rsidRPr="001D7C4C" w:rsidRDefault="002E78D8" w:rsidP="002E78D8">
      <w:pPr>
        <w:pStyle w:val="Sangradetextonormal"/>
        <w:widowControl w:val="0"/>
        <w:numPr>
          <w:ilvl w:val="0"/>
          <w:numId w:val="1"/>
        </w:numPr>
        <w:suppressAutoHyphens/>
        <w:spacing w:after="0"/>
        <w:ind w:left="540" w:hanging="567"/>
        <w:jc w:val="both"/>
        <w:rPr>
          <w:rFonts w:ascii="Tahoma" w:hAnsi="Tahoma" w:cs="Tahoma"/>
          <w:sz w:val="22"/>
          <w:szCs w:val="22"/>
        </w:rPr>
      </w:pPr>
      <w:r w:rsidRPr="001D7C4C">
        <w:rPr>
          <w:rFonts w:ascii="Tahoma" w:hAnsi="Tahoma" w:cs="Tahoma"/>
          <w:sz w:val="22"/>
          <w:szCs w:val="22"/>
        </w:rPr>
        <w:t>En consecuencia, el Impugnante</w:t>
      </w:r>
      <w:r w:rsidRPr="001D7C4C">
        <w:rPr>
          <w:rFonts w:ascii="Tahoma" w:hAnsi="Tahoma" w:cs="Tahoma"/>
          <w:bCs/>
          <w:sz w:val="22"/>
          <w:szCs w:val="22"/>
        </w:rPr>
        <w:t xml:space="preserve"> al no cumplir con la</w:t>
      </w:r>
      <w:r>
        <w:rPr>
          <w:rFonts w:ascii="Tahoma" w:hAnsi="Tahoma" w:cs="Tahoma"/>
          <w:bCs/>
          <w:sz w:val="22"/>
          <w:szCs w:val="22"/>
        </w:rPr>
        <w:t>s especificaciones técnicas requeridas por las Bases Integradas, respecto al Componente Nº 6 “Obturador”</w:t>
      </w:r>
      <w:r w:rsidRPr="001D7C4C">
        <w:rPr>
          <w:rFonts w:ascii="Tahoma" w:hAnsi="Tahoma" w:cs="Tahoma"/>
          <w:bCs/>
          <w:sz w:val="22"/>
          <w:szCs w:val="22"/>
        </w:rPr>
        <w:t xml:space="preserve">, debe </w:t>
      </w:r>
      <w:r>
        <w:rPr>
          <w:rFonts w:ascii="Tahoma" w:hAnsi="Tahoma" w:cs="Tahoma"/>
          <w:bCs/>
          <w:sz w:val="22"/>
          <w:szCs w:val="22"/>
        </w:rPr>
        <w:t>ser descalificado</w:t>
      </w:r>
      <w:r w:rsidRPr="001D7C4C">
        <w:rPr>
          <w:rFonts w:ascii="Tahoma" w:hAnsi="Tahoma" w:cs="Tahoma"/>
          <w:bCs/>
          <w:sz w:val="22"/>
          <w:szCs w:val="22"/>
        </w:rPr>
        <w:t xml:space="preserve"> del presente proceso de selección de conformidad con el artículo 61º de El Reglamento</w:t>
      </w:r>
      <w:r>
        <w:rPr>
          <w:rFonts w:ascii="Tahoma" w:hAnsi="Tahoma" w:cs="Tahoma"/>
          <w:bCs/>
          <w:sz w:val="22"/>
          <w:szCs w:val="22"/>
        </w:rPr>
        <w:t>.</w:t>
      </w:r>
    </w:p>
    <w:p w:rsidR="002E78D8" w:rsidRPr="001D7C4C" w:rsidRDefault="002E78D8" w:rsidP="002E78D8">
      <w:pPr>
        <w:pStyle w:val="Sangradetextonormal"/>
        <w:widowControl w:val="0"/>
        <w:suppressAutoHyphens/>
        <w:spacing w:after="0"/>
        <w:ind w:left="540"/>
        <w:jc w:val="both"/>
        <w:rPr>
          <w:rFonts w:ascii="Tahoma" w:hAnsi="Tahoma" w:cs="Tahoma"/>
          <w:sz w:val="22"/>
          <w:szCs w:val="22"/>
        </w:rPr>
      </w:pPr>
    </w:p>
    <w:p w:rsidR="002E78D8" w:rsidRPr="001D7C4C" w:rsidRDefault="002E78D8" w:rsidP="002E78D8">
      <w:pPr>
        <w:pStyle w:val="Sangradetextonormal"/>
        <w:widowControl w:val="0"/>
        <w:numPr>
          <w:ilvl w:val="0"/>
          <w:numId w:val="1"/>
        </w:numPr>
        <w:suppressAutoHyphens/>
        <w:spacing w:after="0"/>
        <w:ind w:left="540" w:hanging="567"/>
        <w:jc w:val="both"/>
        <w:rPr>
          <w:rFonts w:ascii="Tahoma" w:hAnsi="Tahoma" w:cs="Tahoma"/>
          <w:sz w:val="22"/>
          <w:szCs w:val="22"/>
        </w:rPr>
      </w:pPr>
      <w:r w:rsidRPr="001D7C4C">
        <w:rPr>
          <w:rFonts w:ascii="Tahoma" w:hAnsi="Tahoma" w:cs="Tahoma"/>
          <w:sz w:val="22"/>
          <w:szCs w:val="22"/>
        </w:rPr>
        <w:t xml:space="preserve">Debe tenerse presente, que es importante resaltar que </w:t>
      </w:r>
      <w:r w:rsidRPr="001D7C4C">
        <w:rPr>
          <w:rFonts w:ascii="Tahoma" w:hAnsi="Tahoma" w:cs="Tahoma"/>
          <w:sz w:val="22"/>
          <w:szCs w:val="22"/>
          <w:lang w:val="es-PE"/>
        </w:rPr>
        <w:t>una de las finalidades en la normativa de contrataciones del Estado es aquella que las Entidades públicas adquieran bienes, servicios y obras en las mejores condiciones posibles, dentro de un marco adecuado que garantice la debida transparencia en el uso de los recursos públicos.</w:t>
      </w:r>
    </w:p>
    <w:p w:rsidR="002E78D8" w:rsidRDefault="002E78D8" w:rsidP="002E78D8">
      <w:pPr>
        <w:pStyle w:val="Prrafodelista"/>
        <w:rPr>
          <w:rFonts w:ascii="Tahoma" w:hAnsi="Tahoma" w:cs="Tahoma"/>
          <w:sz w:val="22"/>
          <w:szCs w:val="22"/>
        </w:rPr>
      </w:pPr>
    </w:p>
    <w:p w:rsidR="002E78D8" w:rsidRPr="001D7C4C" w:rsidRDefault="002E78D8" w:rsidP="002E78D8">
      <w:pPr>
        <w:pStyle w:val="Sangradetextonormal"/>
        <w:widowControl w:val="0"/>
        <w:numPr>
          <w:ilvl w:val="0"/>
          <w:numId w:val="1"/>
        </w:numPr>
        <w:suppressAutoHyphens/>
        <w:spacing w:after="0"/>
        <w:ind w:left="540" w:hanging="567"/>
        <w:jc w:val="both"/>
        <w:rPr>
          <w:rFonts w:ascii="Tahoma" w:hAnsi="Tahoma" w:cs="Tahoma"/>
          <w:sz w:val="22"/>
          <w:szCs w:val="22"/>
        </w:rPr>
      </w:pPr>
      <w:r w:rsidRPr="001D7C4C">
        <w:rPr>
          <w:rFonts w:ascii="Tahoma" w:hAnsi="Tahoma" w:cs="Tahoma"/>
          <w:sz w:val="22"/>
          <w:szCs w:val="22"/>
          <w:lang w:val="es-PE"/>
        </w:rPr>
        <w:t xml:space="preserve">Asimismo, señalar que las exigencias de orden formal y sustancial que la normativa prevea o cuya aplicación surja a partir de su interpretación deben </w:t>
      </w:r>
      <w:r w:rsidRPr="001D7C4C">
        <w:rPr>
          <w:rFonts w:ascii="Tahoma" w:hAnsi="Tahoma" w:cs="Tahoma"/>
          <w:sz w:val="22"/>
          <w:szCs w:val="22"/>
          <w:lang w:val="es-PE"/>
        </w:rPr>
        <w:lastRenderedPageBreak/>
        <w:t>obedecer a la necesidad de asegurar el escenario más idóneo en el que se equilibre el óptimo uso de los recursos públicos. De ahí que las autoridades administrativas deben adoptar decisiones  en el marco de los procesos de selección buscando que dicha necesidad sea satisfecha, en función de las razones del bien común e interés general.</w:t>
      </w:r>
    </w:p>
    <w:p w:rsidR="002E78D8" w:rsidRDefault="002E78D8" w:rsidP="002E78D8">
      <w:pPr>
        <w:pStyle w:val="Prrafodelista"/>
        <w:rPr>
          <w:rFonts w:ascii="Tahoma" w:hAnsi="Tahoma" w:cs="Tahoma"/>
          <w:sz w:val="22"/>
          <w:szCs w:val="22"/>
        </w:rPr>
      </w:pPr>
    </w:p>
    <w:p w:rsidR="002E78D8" w:rsidRDefault="002E78D8" w:rsidP="002E78D8">
      <w:pPr>
        <w:pStyle w:val="Sangradetextonormal"/>
        <w:widowControl w:val="0"/>
        <w:numPr>
          <w:ilvl w:val="0"/>
          <w:numId w:val="1"/>
        </w:numPr>
        <w:suppressAutoHyphens/>
        <w:spacing w:after="0"/>
        <w:ind w:left="540" w:hanging="567"/>
        <w:jc w:val="both"/>
        <w:rPr>
          <w:rFonts w:ascii="Tahoma" w:hAnsi="Tahoma" w:cs="Tahoma"/>
          <w:sz w:val="22"/>
          <w:szCs w:val="22"/>
        </w:rPr>
      </w:pPr>
      <w:r w:rsidRPr="001D7C4C">
        <w:rPr>
          <w:rFonts w:ascii="Tahoma" w:hAnsi="Tahoma" w:cs="Tahoma"/>
          <w:sz w:val="22"/>
          <w:szCs w:val="22"/>
          <w:lang w:val="es-PE"/>
        </w:rPr>
        <w:t>Finalmente,</w:t>
      </w:r>
      <w:r w:rsidRPr="001D7C4C">
        <w:rPr>
          <w:rFonts w:ascii="Tahoma" w:hAnsi="Tahoma" w:cs="Tahoma"/>
          <w:sz w:val="22"/>
          <w:szCs w:val="22"/>
        </w:rPr>
        <w:t xml:space="preserve"> indicar que el procedimiento administrativo se rige por principios que constituyen elementos que el legislador ha considerado básicos, por un lado, para encausar y delimitar la actuación de la Administración y de los administrados en todo procedimiento; y, por el otro, para controlar la discrecionalidad de la Administración en la interpretación de las normas aplicables y en la integración jurídica para resolver aquellos aspectos no regulados</w:t>
      </w:r>
      <w:r w:rsidRPr="001D7C4C">
        <w:rPr>
          <w:rFonts w:ascii="Tahoma" w:hAnsi="Tahoma" w:cs="Tahoma"/>
          <w:sz w:val="22"/>
          <w:szCs w:val="22"/>
          <w:lang w:val="es-PE"/>
        </w:rPr>
        <w:t>, dentro de los cuales se  encuentran los de Eficiencia, Transparencia y Economía</w:t>
      </w:r>
      <w:r w:rsidRPr="001D7C4C">
        <w:rPr>
          <w:rFonts w:ascii="Tahoma" w:hAnsi="Tahoma" w:cs="Tahoma"/>
          <w:sz w:val="22"/>
          <w:szCs w:val="22"/>
        </w:rPr>
        <w:t>.</w:t>
      </w:r>
    </w:p>
    <w:p w:rsidR="002E78D8" w:rsidRDefault="002E78D8" w:rsidP="002E78D8">
      <w:pPr>
        <w:pStyle w:val="Prrafodelista"/>
        <w:rPr>
          <w:rFonts w:ascii="Tahoma" w:hAnsi="Tahoma" w:cs="Tahoma"/>
          <w:sz w:val="22"/>
          <w:szCs w:val="22"/>
        </w:rPr>
      </w:pPr>
    </w:p>
    <w:p w:rsidR="002E78D8" w:rsidRPr="001D7C4C" w:rsidRDefault="002E78D8" w:rsidP="002E78D8">
      <w:pPr>
        <w:pStyle w:val="Sangradetextonormal"/>
        <w:widowControl w:val="0"/>
        <w:numPr>
          <w:ilvl w:val="0"/>
          <w:numId w:val="1"/>
        </w:numPr>
        <w:suppressAutoHyphens/>
        <w:spacing w:after="0"/>
        <w:ind w:left="540" w:hanging="567"/>
        <w:jc w:val="both"/>
        <w:rPr>
          <w:rFonts w:ascii="Tahoma" w:hAnsi="Tahoma" w:cs="Tahoma"/>
          <w:sz w:val="22"/>
          <w:szCs w:val="22"/>
        </w:rPr>
      </w:pPr>
      <w:r w:rsidRPr="001D7C4C">
        <w:rPr>
          <w:rFonts w:ascii="Tahoma" w:hAnsi="Tahoma" w:cs="Tahoma"/>
          <w:sz w:val="22"/>
          <w:szCs w:val="22"/>
          <w:lang w:val="es-PE"/>
        </w:rPr>
        <w:t xml:space="preserve">Por las consideraciones expuestas y en aplicación de la disposición establecida en el artículo 32º de La Ley, corresponde declarar desierto </w:t>
      </w:r>
      <w:smartTag w:uri="urn:schemas-microsoft-com:office:smarttags" w:element="PersonName">
        <w:smartTagPr>
          <w:attr w:name="ProductID" w:val="la Licitación Pública"/>
        </w:smartTagPr>
        <w:r w:rsidRPr="007E0F4C">
          <w:rPr>
            <w:rFonts w:ascii="Tahoma" w:hAnsi="Tahoma" w:cs="Tahoma"/>
            <w:sz w:val="22"/>
            <w:szCs w:val="22"/>
          </w:rPr>
          <w:t>la Licit</w:t>
        </w:r>
        <w:r>
          <w:rPr>
            <w:rFonts w:ascii="Tahoma" w:hAnsi="Tahoma" w:cs="Tahoma"/>
            <w:sz w:val="22"/>
            <w:szCs w:val="22"/>
          </w:rPr>
          <w:t>ación Pública</w:t>
        </w:r>
      </w:smartTag>
      <w:r>
        <w:rPr>
          <w:rFonts w:ascii="Tahoma" w:hAnsi="Tahoma" w:cs="Tahoma"/>
          <w:sz w:val="22"/>
          <w:szCs w:val="22"/>
        </w:rPr>
        <w:t xml:space="preserve"> Nº 1095L00011</w:t>
      </w:r>
      <w:r w:rsidRPr="007E0F4C">
        <w:rPr>
          <w:rFonts w:ascii="Tahoma" w:hAnsi="Tahoma" w:cs="Tahoma"/>
          <w:sz w:val="22"/>
          <w:szCs w:val="22"/>
        </w:rPr>
        <w:t>, para la “Adquisición de</w:t>
      </w:r>
      <w:r>
        <w:rPr>
          <w:rFonts w:ascii="Tahoma" w:hAnsi="Tahoma" w:cs="Tahoma"/>
          <w:sz w:val="22"/>
          <w:szCs w:val="22"/>
        </w:rPr>
        <w:t>l Sistema Diálisis Peritoneal Automatizado (DIPAC)</w:t>
      </w:r>
      <w:r w:rsidRPr="007E0F4C">
        <w:rPr>
          <w:rFonts w:ascii="Tahoma" w:hAnsi="Tahoma" w:cs="Tahoma"/>
          <w:sz w:val="22"/>
          <w:szCs w:val="22"/>
        </w:rPr>
        <w:t>”</w:t>
      </w:r>
      <w:r w:rsidRPr="001D7C4C">
        <w:rPr>
          <w:rFonts w:ascii="Tahoma" w:hAnsi="Tahoma" w:cs="Tahoma"/>
          <w:sz w:val="22"/>
          <w:szCs w:val="22"/>
        </w:rPr>
        <w:t xml:space="preserve">, </w:t>
      </w:r>
      <w:r w:rsidRPr="001D7C4C">
        <w:rPr>
          <w:rFonts w:ascii="Tahoma" w:hAnsi="Tahoma" w:cs="Tahoma"/>
          <w:sz w:val="22"/>
          <w:szCs w:val="22"/>
          <w:lang w:val="es-PE"/>
        </w:rPr>
        <w:t>al no existir oferta válida alguna. La declaración de desierto de un proceso de selección obliga a la Entidad a formular un informe que evalúe las causas que motivaron dicha declaratoria, debiéndose adoptar las medidas correctivas antes de convocar nuevamente, bajo responsabilidad.</w:t>
      </w:r>
      <w:r w:rsidRPr="001D7C4C">
        <w:rPr>
          <w:rFonts w:ascii="Tahoma" w:hAnsi="Tahoma" w:cs="Tahoma"/>
          <w:sz w:val="22"/>
          <w:szCs w:val="22"/>
        </w:rPr>
        <w:t xml:space="preserve"> </w:t>
      </w:r>
    </w:p>
    <w:p w:rsidR="002E78D8" w:rsidRPr="004929CB" w:rsidRDefault="002E78D8" w:rsidP="002E78D8">
      <w:pPr>
        <w:pStyle w:val="Sangradetextonormal"/>
        <w:widowControl w:val="0"/>
        <w:suppressAutoHyphens/>
        <w:spacing w:after="0"/>
        <w:ind w:left="567"/>
        <w:jc w:val="both"/>
        <w:rPr>
          <w:rFonts w:ascii="Tahoma" w:hAnsi="Tahoma" w:cs="Tahoma"/>
          <w:sz w:val="21"/>
          <w:szCs w:val="21"/>
        </w:rPr>
      </w:pPr>
    </w:p>
    <w:p w:rsidR="002E78D8" w:rsidRPr="002E78D8" w:rsidRDefault="002E78D8" w:rsidP="002E78D8">
      <w:pPr>
        <w:ind w:firstLine="567"/>
        <w:jc w:val="both"/>
        <w:rPr>
          <w:rFonts w:ascii="Tahoma" w:eastAsia="Calibri" w:hAnsi="Tahoma" w:cs="Tahoma"/>
          <w:color w:val="000000"/>
          <w:sz w:val="22"/>
          <w:szCs w:val="22"/>
        </w:rPr>
      </w:pPr>
      <w:r w:rsidRPr="002E78D8">
        <w:rPr>
          <w:rFonts w:ascii="Tahoma" w:hAnsi="Tahoma" w:cs="Tahoma"/>
          <w:sz w:val="22"/>
          <w:szCs w:val="22"/>
        </w:rPr>
        <w:t xml:space="preserve">Por estos fundamentos, </w:t>
      </w:r>
      <w:r w:rsidRPr="002E78D8">
        <w:rPr>
          <w:rFonts w:ascii="Tahoma" w:hAnsi="Tahoma" w:cs="Tahoma"/>
          <w:color w:val="000000"/>
          <w:sz w:val="22"/>
          <w:szCs w:val="22"/>
        </w:rPr>
        <w:t>de conformidad con el inf</w:t>
      </w:r>
      <w:r w:rsidRPr="002E78D8">
        <w:rPr>
          <w:rFonts w:ascii="Tahoma" w:eastAsia="Calibri" w:hAnsi="Tahoma" w:cs="Tahoma"/>
          <w:color w:val="000000"/>
          <w:sz w:val="22"/>
          <w:szCs w:val="22"/>
        </w:rPr>
        <w:t>orme de la Vocal Ponente Dra. Ada Rosa Basulto Liewald y la intervención de los Señores Vocales Dr. Carlos Vicente Navas Rondón y Dra. Janette Elke Ramírez Maynetto; atendiendo a la reconformación de la Primera Sala del Tribunal de contrataciones y Adquisiciones del Estado, según lo dispuesto en la Resolución № 103-2011-OSCE/PRE, expedida el 15 de febrero de 2011; y, en ejercicio de las facultades conferidas en los artículos 51 y 63 de la Ley de Contrataciones del Estado, aprobada por Decreto Legislativo № 1017,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2E78D8" w:rsidRPr="004929CB" w:rsidRDefault="002E78D8" w:rsidP="002E78D8">
      <w:pPr>
        <w:tabs>
          <w:tab w:val="left" w:pos="3544"/>
          <w:tab w:val="left" w:pos="7230"/>
          <w:tab w:val="left" w:pos="8505"/>
        </w:tabs>
        <w:ind w:right="-486" w:firstLine="454"/>
        <w:jc w:val="both"/>
        <w:rPr>
          <w:rFonts w:ascii="Tahoma" w:hAnsi="Tahoma" w:cs="Tahoma"/>
          <w:sz w:val="21"/>
          <w:szCs w:val="21"/>
        </w:rPr>
      </w:pPr>
    </w:p>
    <w:p w:rsidR="002E78D8" w:rsidRPr="004929CB" w:rsidRDefault="002E78D8" w:rsidP="002E78D8">
      <w:pPr>
        <w:tabs>
          <w:tab w:val="num" w:pos="360"/>
          <w:tab w:val="left" w:pos="3544"/>
          <w:tab w:val="left" w:pos="7230"/>
          <w:tab w:val="left" w:pos="8505"/>
        </w:tabs>
        <w:ind w:left="-180" w:right="-486" w:firstLine="180"/>
        <w:jc w:val="both"/>
        <w:rPr>
          <w:rFonts w:ascii="Tahoma" w:hAnsi="Tahoma" w:cs="Tahoma"/>
          <w:b/>
          <w:shadow/>
          <w:sz w:val="21"/>
          <w:szCs w:val="21"/>
        </w:rPr>
      </w:pPr>
      <w:r w:rsidRPr="004929CB">
        <w:rPr>
          <w:rFonts w:ascii="Tahoma" w:hAnsi="Tahoma" w:cs="Tahoma"/>
          <w:b/>
          <w:shadow/>
          <w:sz w:val="21"/>
          <w:szCs w:val="21"/>
        </w:rPr>
        <w:t>LA SALA RESUELVE:</w:t>
      </w:r>
    </w:p>
    <w:p w:rsidR="002E78D8" w:rsidRPr="004929CB" w:rsidRDefault="002E78D8" w:rsidP="002E78D8">
      <w:pPr>
        <w:tabs>
          <w:tab w:val="num" w:pos="360"/>
          <w:tab w:val="left" w:pos="3544"/>
          <w:tab w:val="left" w:pos="7230"/>
          <w:tab w:val="left" w:pos="8505"/>
        </w:tabs>
        <w:ind w:left="-180" w:right="-486" w:firstLine="180"/>
        <w:jc w:val="both"/>
        <w:rPr>
          <w:rFonts w:ascii="Tahoma" w:hAnsi="Tahoma" w:cs="Tahoma"/>
          <w:b/>
          <w:shadow/>
          <w:sz w:val="21"/>
          <w:szCs w:val="21"/>
        </w:rPr>
      </w:pPr>
    </w:p>
    <w:p w:rsidR="002E78D8" w:rsidRDefault="002E78D8" w:rsidP="002E78D8">
      <w:pPr>
        <w:pStyle w:val="Prrafodelista"/>
        <w:numPr>
          <w:ilvl w:val="0"/>
          <w:numId w:val="38"/>
        </w:numPr>
        <w:tabs>
          <w:tab w:val="clear" w:pos="720"/>
          <w:tab w:val="num" w:pos="540"/>
          <w:tab w:val="num" w:pos="567"/>
        </w:tabs>
        <w:ind w:left="540" w:hanging="540"/>
        <w:contextualSpacing/>
        <w:jc w:val="both"/>
        <w:rPr>
          <w:rFonts w:ascii="Tahoma" w:hAnsi="Tahoma" w:cs="Tahoma"/>
          <w:sz w:val="22"/>
          <w:szCs w:val="22"/>
        </w:rPr>
      </w:pPr>
      <w:r w:rsidRPr="008E67DF">
        <w:rPr>
          <w:rFonts w:ascii="Tahoma" w:hAnsi="Tahoma" w:cs="Tahoma"/>
          <w:sz w:val="22"/>
          <w:szCs w:val="22"/>
        </w:rPr>
        <w:t xml:space="preserve">Declarar fundado en parte el recurso de apelación interpuesto por </w:t>
      </w:r>
      <w:r>
        <w:rPr>
          <w:rFonts w:ascii="Tahoma" w:hAnsi="Tahoma" w:cs="Tahoma"/>
          <w:sz w:val="22"/>
          <w:szCs w:val="22"/>
        </w:rPr>
        <w:t xml:space="preserve">la empresa </w:t>
      </w:r>
      <w:r w:rsidRPr="006464EC">
        <w:rPr>
          <w:rFonts w:ascii="Tahoma" w:hAnsi="Tahoma" w:cs="Tahoma"/>
          <w:sz w:val="22"/>
          <w:szCs w:val="22"/>
        </w:rPr>
        <w:t>LABORATORIOS BAXTER DEL PERU S.A.</w:t>
      </w:r>
      <w:r w:rsidRPr="008E67DF">
        <w:rPr>
          <w:rFonts w:ascii="Tahoma" w:hAnsi="Tahoma" w:cs="Tahoma"/>
          <w:sz w:val="22"/>
          <w:szCs w:val="22"/>
        </w:rPr>
        <w:t xml:space="preserve"> </w:t>
      </w:r>
      <w:r w:rsidRPr="002C1945">
        <w:rPr>
          <w:rFonts w:ascii="Tahoma" w:hAnsi="Tahoma" w:cs="Tahoma"/>
          <w:sz w:val="22"/>
          <w:szCs w:val="22"/>
        </w:rPr>
        <w:t>contra la descalificación de su propuesta técnica y el otorgamient</w:t>
      </w:r>
      <w:r>
        <w:rPr>
          <w:rFonts w:ascii="Tahoma" w:hAnsi="Tahoma" w:cs="Tahoma"/>
          <w:sz w:val="22"/>
          <w:szCs w:val="22"/>
        </w:rPr>
        <w:t>o de la buena pro</w:t>
      </w:r>
      <w:r w:rsidRPr="002C1945">
        <w:rPr>
          <w:rFonts w:ascii="Tahoma" w:hAnsi="Tahoma" w:cs="Tahoma"/>
          <w:sz w:val="22"/>
          <w:szCs w:val="22"/>
        </w:rPr>
        <w:t xml:space="preserve"> de la </w:t>
      </w:r>
      <w:r w:rsidRPr="007E0F4C">
        <w:rPr>
          <w:rFonts w:ascii="Tahoma" w:hAnsi="Tahoma" w:cs="Tahoma"/>
          <w:sz w:val="22"/>
          <w:szCs w:val="22"/>
        </w:rPr>
        <w:t>Licit</w:t>
      </w:r>
      <w:r>
        <w:rPr>
          <w:rFonts w:ascii="Tahoma" w:hAnsi="Tahoma" w:cs="Tahoma"/>
          <w:sz w:val="22"/>
          <w:szCs w:val="22"/>
        </w:rPr>
        <w:t>ación Pública Nº 1095L00011</w:t>
      </w:r>
      <w:r w:rsidRPr="002C1945">
        <w:rPr>
          <w:rFonts w:ascii="Tahoma" w:hAnsi="Tahoma" w:cs="Tahoma"/>
          <w:sz w:val="22"/>
          <w:szCs w:val="22"/>
          <w:lang w:val="es-PE"/>
        </w:rPr>
        <w:t xml:space="preserve">, </w:t>
      </w:r>
      <w:r>
        <w:rPr>
          <w:rFonts w:ascii="Tahoma" w:hAnsi="Tahoma" w:cs="Tahoma"/>
          <w:sz w:val="22"/>
          <w:szCs w:val="22"/>
          <w:lang w:val="es-PE"/>
        </w:rPr>
        <w:t>p</w:t>
      </w:r>
      <w:r w:rsidRPr="007E0F4C">
        <w:rPr>
          <w:rFonts w:ascii="Tahoma" w:hAnsi="Tahoma" w:cs="Tahoma"/>
          <w:sz w:val="22"/>
          <w:szCs w:val="22"/>
        </w:rPr>
        <w:t>ara la “Adquisición de</w:t>
      </w:r>
      <w:r>
        <w:rPr>
          <w:rFonts w:ascii="Tahoma" w:hAnsi="Tahoma" w:cs="Tahoma"/>
          <w:sz w:val="22"/>
          <w:szCs w:val="22"/>
        </w:rPr>
        <w:t>l Sistema Diálisis Peritoneal Automatizado (DIPAC)</w:t>
      </w:r>
      <w:r w:rsidRPr="007E0F4C">
        <w:rPr>
          <w:rFonts w:ascii="Tahoma" w:hAnsi="Tahoma" w:cs="Tahoma"/>
          <w:sz w:val="22"/>
          <w:szCs w:val="22"/>
        </w:rPr>
        <w:t>”</w:t>
      </w:r>
      <w:r w:rsidRPr="002C1945">
        <w:rPr>
          <w:rFonts w:ascii="Tahoma" w:hAnsi="Tahoma" w:cs="Tahoma"/>
          <w:sz w:val="22"/>
          <w:szCs w:val="22"/>
        </w:rPr>
        <w:t>, por los  fundamentos expuestos.</w:t>
      </w:r>
    </w:p>
    <w:p w:rsidR="002E78D8" w:rsidRDefault="002E78D8" w:rsidP="002E78D8">
      <w:pPr>
        <w:pStyle w:val="Prrafodelista"/>
        <w:tabs>
          <w:tab w:val="num" w:pos="720"/>
        </w:tabs>
        <w:ind w:left="540"/>
        <w:contextualSpacing/>
        <w:jc w:val="both"/>
        <w:rPr>
          <w:rFonts w:ascii="Tahoma" w:hAnsi="Tahoma" w:cs="Tahoma"/>
          <w:sz w:val="22"/>
          <w:szCs w:val="22"/>
        </w:rPr>
      </w:pPr>
    </w:p>
    <w:p w:rsidR="002E78D8" w:rsidRDefault="002E78D8" w:rsidP="002E78D8">
      <w:pPr>
        <w:pStyle w:val="Prrafodelista"/>
        <w:numPr>
          <w:ilvl w:val="0"/>
          <w:numId w:val="38"/>
        </w:numPr>
        <w:tabs>
          <w:tab w:val="clear" w:pos="720"/>
          <w:tab w:val="num" w:pos="540"/>
          <w:tab w:val="num" w:pos="567"/>
        </w:tabs>
        <w:ind w:left="540" w:hanging="540"/>
        <w:contextualSpacing/>
        <w:jc w:val="both"/>
        <w:rPr>
          <w:rFonts w:ascii="Tahoma" w:hAnsi="Tahoma" w:cs="Tahoma"/>
          <w:sz w:val="22"/>
          <w:szCs w:val="22"/>
        </w:rPr>
      </w:pPr>
      <w:r w:rsidRPr="007E38DF">
        <w:rPr>
          <w:rFonts w:ascii="Tahoma" w:hAnsi="Tahoma" w:cs="Tahoma"/>
          <w:sz w:val="22"/>
          <w:szCs w:val="22"/>
        </w:rPr>
        <w:t xml:space="preserve">Descalificar la propuesta de la empresa </w:t>
      </w:r>
      <w:r w:rsidRPr="007E38DF">
        <w:rPr>
          <w:rFonts w:ascii="Tahoma" w:hAnsi="Tahoma" w:cs="Tahoma"/>
          <w:color w:val="000000"/>
          <w:sz w:val="22"/>
          <w:szCs w:val="22"/>
        </w:rPr>
        <w:t>FRESENIUS MEDICAL CARE DEL PERU S.A.</w:t>
      </w:r>
      <w:r w:rsidRPr="007E38DF">
        <w:rPr>
          <w:rFonts w:ascii="Tahoma" w:hAnsi="Tahoma" w:cs="Tahoma"/>
          <w:sz w:val="22"/>
          <w:szCs w:val="22"/>
        </w:rPr>
        <w:t xml:space="preserve"> de la Licitación Pública Nº 1095L00011</w:t>
      </w:r>
      <w:r w:rsidRPr="007E38DF">
        <w:rPr>
          <w:rFonts w:ascii="Tahoma" w:hAnsi="Tahoma" w:cs="Tahoma"/>
          <w:sz w:val="22"/>
          <w:szCs w:val="22"/>
          <w:lang w:val="es-PE"/>
        </w:rPr>
        <w:t xml:space="preserve">, </w:t>
      </w:r>
      <w:r>
        <w:rPr>
          <w:rFonts w:ascii="Tahoma" w:hAnsi="Tahoma" w:cs="Tahoma"/>
          <w:sz w:val="22"/>
          <w:szCs w:val="22"/>
          <w:lang w:val="es-PE"/>
        </w:rPr>
        <w:t>p</w:t>
      </w:r>
      <w:r w:rsidRPr="007E38DF">
        <w:rPr>
          <w:rFonts w:ascii="Tahoma" w:hAnsi="Tahoma" w:cs="Tahoma"/>
          <w:sz w:val="22"/>
          <w:szCs w:val="22"/>
        </w:rPr>
        <w:t xml:space="preserve">ara la “Adquisición del Sistema Diálisis Peritoneal Automatizado (DIPAC)”; y, por su efecto, revocar la buena pro </w:t>
      </w:r>
      <w:r w:rsidRPr="007E38DF">
        <w:rPr>
          <w:rFonts w:ascii="Tahoma" w:hAnsi="Tahoma" w:cs="Tahoma"/>
          <w:sz w:val="22"/>
          <w:szCs w:val="22"/>
        </w:rPr>
        <w:lastRenderedPageBreak/>
        <w:t>que le fuera otorgada, por las consideraciones expuestas en la presente resolución.</w:t>
      </w:r>
    </w:p>
    <w:p w:rsidR="002E78D8" w:rsidRPr="007E38DF" w:rsidRDefault="002E78D8" w:rsidP="002E78D8">
      <w:pPr>
        <w:pStyle w:val="Prrafodelista"/>
        <w:rPr>
          <w:rFonts w:ascii="Tahoma" w:hAnsi="Tahoma" w:cs="Tahoma"/>
          <w:sz w:val="22"/>
          <w:szCs w:val="22"/>
        </w:rPr>
      </w:pPr>
    </w:p>
    <w:p w:rsidR="002E78D8" w:rsidRDefault="002E78D8" w:rsidP="002E78D8">
      <w:pPr>
        <w:pStyle w:val="Prrafodelista"/>
        <w:numPr>
          <w:ilvl w:val="0"/>
          <w:numId w:val="38"/>
        </w:numPr>
        <w:tabs>
          <w:tab w:val="clear" w:pos="720"/>
          <w:tab w:val="num" w:pos="540"/>
          <w:tab w:val="num" w:pos="567"/>
        </w:tabs>
        <w:ind w:left="540" w:hanging="540"/>
        <w:contextualSpacing/>
        <w:jc w:val="both"/>
        <w:rPr>
          <w:rFonts w:ascii="Tahoma" w:hAnsi="Tahoma" w:cs="Tahoma"/>
          <w:sz w:val="22"/>
          <w:szCs w:val="22"/>
        </w:rPr>
      </w:pPr>
      <w:r w:rsidRPr="007E38DF">
        <w:rPr>
          <w:rFonts w:ascii="Tahoma" w:hAnsi="Tahoma" w:cs="Tahoma"/>
          <w:sz w:val="22"/>
          <w:szCs w:val="22"/>
        </w:rPr>
        <w:t xml:space="preserve">Descalificar la propuesta </w:t>
      </w:r>
      <w:r>
        <w:rPr>
          <w:rFonts w:ascii="Tahoma" w:hAnsi="Tahoma" w:cs="Tahoma"/>
          <w:sz w:val="22"/>
          <w:szCs w:val="22"/>
        </w:rPr>
        <w:t xml:space="preserve">de la empresa </w:t>
      </w:r>
      <w:r w:rsidRPr="006464EC">
        <w:rPr>
          <w:rFonts w:ascii="Tahoma" w:hAnsi="Tahoma" w:cs="Tahoma"/>
          <w:sz w:val="22"/>
          <w:szCs w:val="22"/>
        </w:rPr>
        <w:t>LABORATORIOS BAXTER DEL PERU S.A.</w:t>
      </w:r>
      <w:r>
        <w:rPr>
          <w:rFonts w:ascii="Tahoma" w:hAnsi="Tahoma" w:cs="Tahoma"/>
          <w:sz w:val="22"/>
          <w:szCs w:val="22"/>
        </w:rPr>
        <w:t xml:space="preserve"> </w:t>
      </w:r>
      <w:r w:rsidRPr="007E38DF">
        <w:rPr>
          <w:rFonts w:ascii="Tahoma" w:hAnsi="Tahoma" w:cs="Tahoma"/>
          <w:sz w:val="22"/>
          <w:szCs w:val="22"/>
        </w:rPr>
        <w:t xml:space="preserve">de la </w:t>
      </w:r>
      <w:r w:rsidRPr="007E0F4C">
        <w:rPr>
          <w:rFonts w:ascii="Tahoma" w:hAnsi="Tahoma" w:cs="Tahoma"/>
          <w:sz w:val="22"/>
          <w:szCs w:val="22"/>
        </w:rPr>
        <w:t>Licit</w:t>
      </w:r>
      <w:r>
        <w:rPr>
          <w:rFonts w:ascii="Tahoma" w:hAnsi="Tahoma" w:cs="Tahoma"/>
          <w:sz w:val="22"/>
          <w:szCs w:val="22"/>
        </w:rPr>
        <w:t>ación Pública Nº 1095L00011</w:t>
      </w:r>
      <w:r w:rsidRPr="002C1945">
        <w:rPr>
          <w:rFonts w:ascii="Tahoma" w:hAnsi="Tahoma" w:cs="Tahoma"/>
          <w:sz w:val="22"/>
          <w:szCs w:val="22"/>
          <w:lang w:val="es-PE"/>
        </w:rPr>
        <w:t xml:space="preserve">, </w:t>
      </w:r>
      <w:r>
        <w:rPr>
          <w:rFonts w:ascii="Tahoma" w:hAnsi="Tahoma" w:cs="Tahoma"/>
          <w:sz w:val="22"/>
          <w:szCs w:val="22"/>
          <w:lang w:val="es-PE"/>
        </w:rPr>
        <w:t>p</w:t>
      </w:r>
      <w:r w:rsidRPr="007E0F4C">
        <w:rPr>
          <w:rFonts w:ascii="Tahoma" w:hAnsi="Tahoma" w:cs="Tahoma"/>
          <w:sz w:val="22"/>
          <w:szCs w:val="22"/>
        </w:rPr>
        <w:t>ara la “Adquisición de</w:t>
      </w:r>
      <w:r>
        <w:rPr>
          <w:rFonts w:ascii="Tahoma" w:hAnsi="Tahoma" w:cs="Tahoma"/>
          <w:sz w:val="22"/>
          <w:szCs w:val="22"/>
        </w:rPr>
        <w:t>l Sistema Diálisis Peritoneal Automatizado (DIPAC)</w:t>
      </w:r>
      <w:r w:rsidRPr="007E0F4C">
        <w:rPr>
          <w:rFonts w:ascii="Tahoma" w:hAnsi="Tahoma" w:cs="Tahoma"/>
          <w:sz w:val="22"/>
          <w:szCs w:val="22"/>
        </w:rPr>
        <w:t>”</w:t>
      </w:r>
      <w:r w:rsidRPr="007E38DF">
        <w:rPr>
          <w:rFonts w:ascii="Tahoma" w:hAnsi="Tahoma" w:cs="Tahoma"/>
          <w:sz w:val="22"/>
          <w:szCs w:val="22"/>
        </w:rPr>
        <w:t>, por los fundamentos expuestos.</w:t>
      </w:r>
    </w:p>
    <w:p w:rsidR="002E78D8" w:rsidRPr="00D05118" w:rsidRDefault="002E78D8" w:rsidP="002E78D8">
      <w:pPr>
        <w:pStyle w:val="Prrafodelista"/>
        <w:rPr>
          <w:rFonts w:ascii="Tahoma" w:hAnsi="Tahoma" w:cs="Tahoma"/>
          <w:sz w:val="22"/>
          <w:szCs w:val="22"/>
        </w:rPr>
      </w:pPr>
    </w:p>
    <w:p w:rsidR="002E78D8" w:rsidRDefault="002E78D8" w:rsidP="002E78D8">
      <w:pPr>
        <w:pStyle w:val="Prrafodelista"/>
        <w:numPr>
          <w:ilvl w:val="0"/>
          <w:numId w:val="38"/>
        </w:numPr>
        <w:tabs>
          <w:tab w:val="clear" w:pos="720"/>
          <w:tab w:val="num" w:pos="540"/>
          <w:tab w:val="num" w:pos="567"/>
        </w:tabs>
        <w:ind w:left="540" w:hanging="540"/>
        <w:contextualSpacing/>
        <w:jc w:val="both"/>
        <w:rPr>
          <w:rFonts w:ascii="Tahoma" w:hAnsi="Tahoma" w:cs="Tahoma"/>
          <w:sz w:val="22"/>
          <w:szCs w:val="22"/>
        </w:rPr>
      </w:pPr>
      <w:r>
        <w:rPr>
          <w:rFonts w:ascii="Tahoma" w:hAnsi="Tahoma" w:cs="Tahoma"/>
          <w:sz w:val="22"/>
          <w:szCs w:val="22"/>
        </w:rPr>
        <w:t>Declarar desierto</w:t>
      </w:r>
      <w:r w:rsidRPr="00D05118">
        <w:rPr>
          <w:rFonts w:ascii="Tahoma" w:hAnsi="Tahoma" w:cs="Tahoma"/>
          <w:sz w:val="22"/>
          <w:szCs w:val="22"/>
        </w:rPr>
        <w:t xml:space="preserve"> la </w:t>
      </w:r>
      <w:r w:rsidRPr="007E0F4C">
        <w:rPr>
          <w:rFonts w:ascii="Tahoma" w:hAnsi="Tahoma" w:cs="Tahoma"/>
          <w:sz w:val="22"/>
          <w:szCs w:val="22"/>
        </w:rPr>
        <w:t>Licit</w:t>
      </w:r>
      <w:r>
        <w:rPr>
          <w:rFonts w:ascii="Tahoma" w:hAnsi="Tahoma" w:cs="Tahoma"/>
          <w:sz w:val="22"/>
          <w:szCs w:val="22"/>
        </w:rPr>
        <w:t>ación Pública Nº 1095L00011</w:t>
      </w:r>
      <w:r w:rsidRPr="002C1945">
        <w:rPr>
          <w:rFonts w:ascii="Tahoma" w:hAnsi="Tahoma" w:cs="Tahoma"/>
          <w:sz w:val="22"/>
          <w:szCs w:val="22"/>
          <w:lang w:val="es-PE"/>
        </w:rPr>
        <w:t xml:space="preserve">, </w:t>
      </w:r>
      <w:r>
        <w:rPr>
          <w:rFonts w:ascii="Tahoma" w:hAnsi="Tahoma" w:cs="Tahoma"/>
          <w:sz w:val="22"/>
          <w:szCs w:val="22"/>
          <w:lang w:val="es-PE"/>
        </w:rPr>
        <w:t>p</w:t>
      </w:r>
      <w:r w:rsidRPr="007E0F4C">
        <w:rPr>
          <w:rFonts w:ascii="Tahoma" w:hAnsi="Tahoma" w:cs="Tahoma"/>
          <w:sz w:val="22"/>
          <w:szCs w:val="22"/>
        </w:rPr>
        <w:t>ara la “Adquisición de</w:t>
      </w:r>
      <w:r>
        <w:rPr>
          <w:rFonts w:ascii="Tahoma" w:hAnsi="Tahoma" w:cs="Tahoma"/>
          <w:sz w:val="22"/>
          <w:szCs w:val="22"/>
        </w:rPr>
        <w:t>l Sistema Diálisis Peritoneal Automatizado (DIPAC)</w:t>
      </w:r>
      <w:r w:rsidRPr="007E0F4C">
        <w:rPr>
          <w:rFonts w:ascii="Tahoma" w:hAnsi="Tahoma" w:cs="Tahoma"/>
          <w:sz w:val="22"/>
          <w:szCs w:val="22"/>
        </w:rPr>
        <w:t>”</w:t>
      </w:r>
      <w:r w:rsidRPr="00D05118">
        <w:rPr>
          <w:rFonts w:ascii="Tahoma" w:hAnsi="Tahoma" w:cs="Tahoma"/>
          <w:sz w:val="22"/>
          <w:szCs w:val="22"/>
        </w:rPr>
        <w:t>, por las consideraciones expuestas en la presente resolución.</w:t>
      </w:r>
    </w:p>
    <w:p w:rsidR="002E78D8" w:rsidRPr="00D05118" w:rsidRDefault="002E78D8" w:rsidP="002E78D8">
      <w:pPr>
        <w:pStyle w:val="Prrafodelista"/>
        <w:rPr>
          <w:rFonts w:ascii="Tahoma" w:hAnsi="Tahoma" w:cs="Tahoma"/>
          <w:sz w:val="22"/>
          <w:szCs w:val="22"/>
        </w:rPr>
      </w:pPr>
    </w:p>
    <w:p w:rsidR="002E78D8" w:rsidRDefault="002E78D8" w:rsidP="002E78D8">
      <w:pPr>
        <w:pStyle w:val="Prrafodelista"/>
        <w:numPr>
          <w:ilvl w:val="0"/>
          <w:numId w:val="38"/>
        </w:numPr>
        <w:tabs>
          <w:tab w:val="clear" w:pos="720"/>
          <w:tab w:val="num" w:pos="540"/>
          <w:tab w:val="num" w:pos="567"/>
        </w:tabs>
        <w:ind w:left="540" w:hanging="540"/>
        <w:contextualSpacing/>
        <w:jc w:val="both"/>
        <w:rPr>
          <w:rFonts w:ascii="Tahoma" w:hAnsi="Tahoma" w:cs="Tahoma"/>
          <w:sz w:val="22"/>
          <w:szCs w:val="22"/>
        </w:rPr>
      </w:pPr>
      <w:r w:rsidRPr="00D05118">
        <w:rPr>
          <w:rFonts w:ascii="Tahoma" w:hAnsi="Tahoma" w:cs="Tahoma"/>
          <w:sz w:val="22"/>
          <w:szCs w:val="22"/>
        </w:rPr>
        <w:t xml:space="preserve">Disponer la devolución de la garantía presentada por la empresa </w:t>
      </w:r>
      <w:r w:rsidRPr="006464EC">
        <w:rPr>
          <w:rFonts w:ascii="Tahoma" w:hAnsi="Tahoma" w:cs="Tahoma"/>
          <w:sz w:val="22"/>
          <w:szCs w:val="22"/>
        </w:rPr>
        <w:t>LABORATORIOS BAXTER DEL PERU S.A.</w:t>
      </w:r>
      <w:r>
        <w:rPr>
          <w:rFonts w:ascii="Tahoma" w:hAnsi="Tahoma" w:cs="Tahoma"/>
          <w:sz w:val="22"/>
          <w:szCs w:val="22"/>
        </w:rPr>
        <w:t xml:space="preserve"> </w:t>
      </w:r>
      <w:r w:rsidRPr="00D05118">
        <w:rPr>
          <w:rFonts w:ascii="Tahoma" w:hAnsi="Tahoma" w:cs="Tahoma"/>
          <w:sz w:val="22"/>
          <w:szCs w:val="22"/>
        </w:rPr>
        <w:t>por la interposición del recurso de apelación.</w:t>
      </w:r>
    </w:p>
    <w:p w:rsidR="002E78D8" w:rsidRPr="00D05118" w:rsidRDefault="002E78D8" w:rsidP="002E78D8">
      <w:pPr>
        <w:pStyle w:val="Prrafodelista"/>
        <w:rPr>
          <w:rFonts w:ascii="Tahoma" w:hAnsi="Tahoma" w:cs="Tahoma"/>
          <w:sz w:val="22"/>
          <w:szCs w:val="22"/>
        </w:rPr>
      </w:pPr>
    </w:p>
    <w:p w:rsidR="002E78D8" w:rsidRDefault="002E78D8" w:rsidP="002E78D8">
      <w:pPr>
        <w:pStyle w:val="Prrafodelista"/>
        <w:numPr>
          <w:ilvl w:val="0"/>
          <w:numId w:val="38"/>
        </w:numPr>
        <w:tabs>
          <w:tab w:val="clear" w:pos="720"/>
          <w:tab w:val="num" w:pos="540"/>
          <w:tab w:val="num" w:pos="567"/>
        </w:tabs>
        <w:ind w:left="540" w:hanging="540"/>
        <w:contextualSpacing/>
        <w:jc w:val="both"/>
        <w:rPr>
          <w:rFonts w:ascii="Tahoma" w:hAnsi="Tahoma" w:cs="Tahoma"/>
          <w:sz w:val="22"/>
          <w:szCs w:val="22"/>
        </w:rPr>
      </w:pPr>
      <w:r w:rsidRPr="00D05118">
        <w:rPr>
          <w:rFonts w:ascii="Tahoma" w:hAnsi="Tahoma" w:cs="Tahoma"/>
          <w:sz w:val="22"/>
          <w:szCs w:val="22"/>
        </w:rPr>
        <w:t>Disponer la devolución de los antecedentes administrativos a La Entidad, la cual deberá recabarlos en la mesa de partes del Tribunal dentro del plazo de 30 días calendario de notificada la presente resolución; debiendo autorizar por escrito a la persona que realizará  dicha diligencia. En caso contrario, los antecedentes administrativos serán enviados al Archivo Central del OSCE para su custodia por un plazo de seis (6) meses, luego del cual serán remitidos al Archivo General de la Nación, bajo responsabilidad.</w:t>
      </w:r>
    </w:p>
    <w:p w:rsidR="002E78D8" w:rsidRPr="00D05118" w:rsidRDefault="002E78D8" w:rsidP="002E78D8">
      <w:pPr>
        <w:pStyle w:val="Prrafodelista"/>
        <w:rPr>
          <w:rFonts w:ascii="Tahoma" w:hAnsi="Tahoma" w:cs="Tahoma"/>
          <w:sz w:val="22"/>
          <w:szCs w:val="22"/>
        </w:rPr>
      </w:pPr>
    </w:p>
    <w:p w:rsidR="002E78D8" w:rsidRPr="00D05118" w:rsidRDefault="002E78D8" w:rsidP="002E78D8">
      <w:pPr>
        <w:pStyle w:val="Prrafodelista"/>
        <w:numPr>
          <w:ilvl w:val="0"/>
          <w:numId w:val="38"/>
        </w:numPr>
        <w:tabs>
          <w:tab w:val="clear" w:pos="720"/>
          <w:tab w:val="num" w:pos="540"/>
          <w:tab w:val="num" w:pos="567"/>
        </w:tabs>
        <w:ind w:left="540" w:hanging="540"/>
        <w:contextualSpacing/>
        <w:jc w:val="both"/>
        <w:rPr>
          <w:rFonts w:ascii="Tahoma" w:hAnsi="Tahoma" w:cs="Tahoma"/>
          <w:sz w:val="22"/>
          <w:szCs w:val="22"/>
        </w:rPr>
      </w:pPr>
      <w:r w:rsidRPr="00D05118">
        <w:rPr>
          <w:rFonts w:ascii="Tahoma" w:hAnsi="Tahoma" w:cs="Tahoma"/>
          <w:sz w:val="22"/>
          <w:szCs w:val="22"/>
        </w:rPr>
        <w:t>Dar por agotada la vía administrativa.</w:t>
      </w:r>
    </w:p>
    <w:p w:rsidR="002E78D8" w:rsidRPr="004929CB" w:rsidRDefault="002E78D8" w:rsidP="002E78D8">
      <w:pPr>
        <w:ind w:left="454"/>
        <w:jc w:val="both"/>
        <w:rPr>
          <w:rFonts w:ascii="Tahoma" w:hAnsi="Tahoma" w:cs="Tahoma"/>
          <w:sz w:val="21"/>
          <w:szCs w:val="21"/>
        </w:rPr>
      </w:pPr>
    </w:p>
    <w:p w:rsidR="002E78D8" w:rsidRPr="004929CB" w:rsidRDefault="002E78D8" w:rsidP="002E78D8">
      <w:pPr>
        <w:pStyle w:val="Textoindependiente21"/>
        <w:tabs>
          <w:tab w:val="left" w:pos="3544"/>
          <w:tab w:val="left" w:pos="7230"/>
          <w:tab w:val="left" w:pos="8505"/>
        </w:tabs>
        <w:ind w:right="-486"/>
        <w:rPr>
          <w:rFonts w:cs="Tahoma"/>
          <w:sz w:val="21"/>
          <w:szCs w:val="21"/>
        </w:rPr>
      </w:pPr>
    </w:p>
    <w:p w:rsidR="002E78D8" w:rsidRPr="002E78D8" w:rsidRDefault="002E78D8" w:rsidP="002E78D8">
      <w:pPr>
        <w:pStyle w:val="Textoindependiente21"/>
        <w:tabs>
          <w:tab w:val="left" w:pos="3544"/>
          <w:tab w:val="left" w:pos="7230"/>
          <w:tab w:val="left" w:pos="8505"/>
        </w:tabs>
        <w:ind w:left="567" w:right="-486"/>
        <w:rPr>
          <w:rFonts w:cs="Tahoma"/>
          <w:szCs w:val="22"/>
        </w:rPr>
      </w:pPr>
      <w:r w:rsidRPr="002E78D8">
        <w:rPr>
          <w:rFonts w:cs="Tahoma"/>
          <w:szCs w:val="22"/>
        </w:rPr>
        <w:t>Regístrese, comuníquese y publíquese.</w:t>
      </w:r>
    </w:p>
    <w:p w:rsidR="002E78D8" w:rsidRPr="004929CB" w:rsidRDefault="002E78D8" w:rsidP="002E78D8">
      <w:pPr>
        <w:tabs>
          <w:tab w:val="left" w:pos="3544"/>
          <w:tab w:val="left" w:pos="7230"/>
          <w:tab w:val="left" w:pos="8505"/>
        </w:tabs>
        <w:ind w:right="-486"/>
        <w:jc w:val="center"/>
        <w:rPr>
          <w:rFonts w:ascii="Tahoma" w:hAnsi="Tahoma" w:cs="Tahoma"/>
          <w:b/>
          <w:sz w:val="21"/>
          <w:szCs w:val="21"/>
        </w:rPr>
      </w:pPr>
    </w:p>
    <w:p w:rsidR="002E78D8" w:rsidRPr="004929CB" w:rsidRDefault="002E78D8" w:rsidP="002E78D8">
      <w:pPr>
        <w:tabs>
          <w:tab w:val="left" w:pos="3544"/>
          <w:tab w:val="left" w:pos="7230"/>
          <w:tab w:val="left" w:pos="8505"/>
        </w:tabs>
        <w:ind w:right="-486"/>
        <w:jc w:val="center"/>
        <w:rPr>
          <w:rFonts w:ascii="Tahoma" w:hAnsi="Tahoma" w:cs="Tahoma"/>
          <w:b/>
          <w:sz w:val="21"/>
          <w:szCs w:val="21"/>
        </w:rPr>
      </w:pPr>
    </w:p>
    <w:p w:rsidR="002E78D8" w:rsidRPr="004929CB" w:rsidRDefault="002E78D8" w:rsidP="002E78D8">
      <w:pPr>
        <w:tabs>
          <w:tab w:val="left" w:pos="3544"/>
          <w:tab w:val="left" w:pos="7230"/>
          <w:tab w:val="left" w:pos="8505"/>
        </w:tabs>
        <w:ind w:right="-486"/>
        <w:jc w:val="center"/>
        <w:rPr>
          <w:rFonts w:ascii="Tahoma" w:hAnsi="Tahoma" w:cs="Tahoma"/>
          <w:b/>
          <w:sz w:val="21"/>
          <w:szCs w:val="21"/>
        </w:rPr>
      </w:pPr>
    </w:p>
    <w:p w:rsidR="002E78D8" w:rsidRDefault="002E78D8" w:rsidP="002E78D8">
      <w:pPr>
        <w:tabs>
          <w:tab w:val="left" w:pos="3544"/>
          <w:tab w:val="left" w:pos="7230"/>
          <w:tab w:val="left" w:pos="8505"/>
        </w:tabs>
        <w:ind w:right="-486"/>
        <w:jc w:val="center"/>
        <w:rPr>
          <w:rFonts w:ascii="Tahoma" w:hAnsi="Tahoma" w:cs="Tahoma"/>
          <w:b/>
          <w:sz w:val="21"/>
          <w:szCs w:val="21"/>
        </w:rPr>
      </w:pPr>
    </w:p>
    <w:p w:rsidR="002E78D8" w:rsidRDefault="002E78D8" w:rsidP="002E78D8">
      <w:pPr>
        <w:tabs>
          <w:tab w:val="left" w:pos="3544"/>
          <w:tab w:val="left" w:pos="7230"/>
          <w:tab w:val="left" w:pos="8505"/>
        </w:tabs>
        <w:ind w:right="-486"/>
        <w:jc w:val="center"/>
        <w:rPr>
          <w:rFonts w:ascii="Tahoma" w:hAnsi="Tahoma" w:cs="Tahoma"/>
          <w:b/>
          <w:sz w:val="21"/>
          <w:szCs w:val="21"/>
        </w:rPr>
      </w:pPr>
    </w:p>
    <w:p w:rsidR="002E78D8" w:rsidRDefault="002E78D8" w:rsidP="002E78D8">
      <w:pPr>
        <w:tabs>
          <w:tab w:val="left" w:pos="3544"/>
          <w:tab w:val="left" w:pos="7230"/>
          <w:tab w:val="left" w:pos="8505"/>
        </w:tabs>
        <w:ind w:right="-486"/>
        <w:jc w:val="center"/>
        <w:rPr>
          <w:rFonts w:ascii="Tahoma" w:hAnsi="Tahoma" w:cs="Tahoma"/>
          <w:b/>
          <w:sz w:val="21"/>
          <w:szCs w:val="21"/>
        </w:rPr>
      </w:pPr>
    </w:p>
    <w:p w:rsidR="002E78D8" w:rsidRDefault="002E78D8" w:rsidP="002E78D8">
      <w:pPr>
        <w:tabs>
          <w:tab w:val="left" w:pos="3544"/>
          <w:tab w:val="left" w:pos="7230"/>
          <w:tab w:val="left" w:pos="8505"/>
        </w:tabs>
        <w:ind w:right="-486"/>
        <w:jc w:val="center"/>
        <w:rPr>
          <w:rFonts w:ascii="Tahoma" w:hAnsi="Tahoma" w:cs="Tahoma"/>
          <w:b/>
          <w:sz w:val="21"/>
          <w:szCs w:val="21"/>
        </w:rPr>
      </w:pPr>
    </w:p>
    <w:p w:rsidR="002E78D8" w:rsidRPr="004929CB" w:rsidRDefault="002E78D8" w:rsidP="002E78D8">
      <w:pPr>
        <w:tabs>
          <w:tab w:val="left" w:pos="3544"/>
          <w:tab w:val="left" w:pos="7230"/>
          <w:tab w:val="left" w:pos="8505"/>
        </w:tabs>
        <w:ind w:right="-486"/>
        <w:jc w:val="center"/>
        <w:rPr>
          <w:rFonts w:ascii="Tahoma" w:hAnsi="Tahoma" w:cs="Tahoma"/>
          <w:b/>
          <w:sz w:val="21"/>
          <w:szCs w:val="21"/>
        </w:rPr>
      </w:pPr>
    </w:p>
    <w:p w:rsidR="002E78D8" w:rsidRPr="004929CB" w:rsidRDefault="002E78D8" w:rsidP="002E78D8">
      <w:pPr>
        <w:tabs>
          <w:tab w:val="left" w:pos="3544"/>
          <w:tab w:val="left" w:pos="7230"/>
          <w:tab w:val="left" w:pos="8505"/>
        </w:tabs>
        <w:ind w:right="-486"/>
        <w:jc w:val="center"/>
        <w:rPr>
          <w:rFonts w:ascii="Tahoma" w:hAnsi="Tahoma" w:cs="Tahoma"/>
          <w:b/>
          <w:sz w:val="21"/>
          <w:szCs w:val="21"/>
        </w:rPr>
      </w:pPr>
    </w:p>
    <w:p w:rsidR="002E78D8" w:rsidRPr="004929CB" w:rsidRDefault="002E78D8" w:rsidP="002E78D8">
      <w:pPr>
        <w:tabs>
          <w:tab w:val="left" w:pos="3544"/>
          <w:tab w:val="left" w:pos="7230"/>
          <w:tab w:val="left" w:pos="8505"/>
        </w:tabs>
        <w:ind w:right="-486"/>
        <w:jc w:val="center"/>
        <w:rPr>
          <w:rFonts w:ascii="Tahoma" w:hAnsi="Tahoma" w:cs="Tahoma"/>
          <w:b/>
          <w:shadow/>
          <w:sz w:val="21"/>
          <w:szCs w:val="21"/>
          <w:lang w:val="pt-BR"/>
        </w:rPr>
      </w:pPr>
      <w:r w:rsidRPr="004929CB">
        <w:rPr>
          <w:rFonts w:ascii="Tahoma" w:hAnsi="Tahoma" w:cs="Tahoma"/>
          <w:b/>
          <w:shadow/>
          <w:sz w:val="21"/>
          <w:szCs w:val="21"/>
          <w:lang w:val="pt-BR"/>
        </w:rPr>
        <w:t>PRESIDENTE</w:t>
      </w:r>
    </w:p>
    <w:p w:rsidR="002E78D8" w:rsidRPr="004929CB" w:rsidRDefault="002E78D8" w:rsidP="002E78D8">
      <w:pPr>
        <w:tabs>
          <w:tab w:val="left" w:pos="3544"/>
          <w:tab w:val="left" w:pos="7230"/>
          <w:tab w:val="left" w:pos="8505"/>
        </w:tabs>
        <w:ind w:right="-486" w:firstLine="708"/>
        <w:rPr>
          <w:rFonts w:ascii="Tahoma" w:hAnsi="Tahoma" w:cs="Tahoma"/>
          <w:b/>
          <w:shadow/>
          <w:sz w:val="21"/>
          <w:szCs w:val="21"/>
          <w:lang w:val="pt-BR"/>
        </w:rPr>
      </w:pPr>
    </w:p>
    <w:p w:rsidR="002E78D8" w:rsidRPr="004929CB" w:rsidRDefault="002E78D8" w:rsidP="002E78D8">
      <w:pPr>
        <w:tabs>
          <w:tab w:val="left" w:pos="3544"/>
          <w:tab w:val="left" w:pos="7230"/>
          <w:tab w:val="left" w:pos="8505"/>
        </w:tabs>
        <w:ind w:right="-486" w:firstLine="708"/>
        <w:rPr>
          <w:rFonts w:ascii="Tahoma" w:hAnsi="Tahoma" w:cs="Tahoma"/>
          <w:shadow/>
          <w:sz w:val="21"/>
          <w:szCs w:val="21"/>
          <w:lang w:val="pt-BR"/>
        </w:rPr>
      </w:pPr>
      <w:r w:rsidRPr="004929CB">
        <w:rPr>
          <w:rFonts w:ascii="Tahoma" w:hAnsi="Tahoma" w:cs="Tahoma"/>
          <w:b/>
          <w:shadow/>
          <w:sz w:val="21"/>
          <w:szCs w:val="21"/>
          <w:lang w:val="pt-BR"/>
        </w:rPr>
        <w:t xml:space="preserve">    VOCAL                                                                                     VOCAL                                                                                        </w:t>
      </w:r>
    </w:p>
    <w:p w:rsidR="002E78D8" w:rsidRPr="004929CB" w:rsidRDefault="002E78D8" w:rsidP="002E78D8">
      <w:pPr>
        <w:jc w:val="both"/>
        <w:rPr>
          <w:rFonts w:ascii="Tahoma" w:hAnsi="Tahoma" w:cs="Tahoma"/>
          <w:sz w:val="21"/>
          <w:szCs w:val="21"/>
          <w:lang w:val="pt-BR"/>
        </w:rPr>
      </w:pPr>
    </w:p>
    <w:p w:rsidR="002E78D8" w:rsidRPr="00EB5AAB" w:rsidRDefault="002E78D8" w:rsidP="002E78D8">
      <w:pPr>
        <w:jc w:val="both"/>
        <w:rPr>
          <w:rFonts w:ascii="Tahoma" w:hAnsi="Tahoma" w:cs="Tahoma"/>
          <w:sz w:val="21"/>
          <w:szCs w:val="21"/>
          <w:lang w:val="pt-BR"/>
        </w:rPr>
      </w:pPr>
      <w:r w:rsidRPr="00EB5AAB">
        <w:rPr>
          <w:rFonts w:ascii="Tahoma" w:hAnsi="Tahoma" w:cs="Tahoma"/>
          <w:sz w:val="21"/>
          <w:szCs w:val="21"/>
          <w:lang w:val="pt-BR"/>
        </w:rPr>
        <w:t>ss.</w:t>
      </w:r>
    </w:p>
    <w:p w:rsidR="002E78D8" w:rsidRPr="00EB5AAB" w:rsidRDefault="002E78D8" w:rsidP="002E78D8">
      <w:pPr>
        <w:pStyle w:val="Textoindependiente21"/>
        <w:tabs>
          <w:tab w:val="left" w:pos="5250"/>
        </w:tabs>
        <w:rPr>
          <w:rFonts w:cs="Tahoma"/>
          <w:sz w:val="21"/>
          <w:szCs w:val="21"/>
          <w:lang w:val="pt-BR"/>
        </w:rPr>
      </w:pPr>
      <w:r w:rsidRPr="00EB5AAB">
        <w:rPr>
          <w:rFonts w:cs="Tahoma"/>
          <w:sz w:val="21"/>
          <w:szCs w:val="21"/>
          <w:lang w:val="pt-BR"/>
        </w:rPr>
        <w:t>Navas Rondón.</w:t>
      </w:r>
    </w:p>
    <w:p w:rsidR="002E78D8" w:rsidRPr="00EB5AAB" w:rsidRDefault="002E78D8" w:rsidP="002E78D8">
      <w:pPr>
        <w:pStyle w:val="Textoindependiente21"/>
        <w:tabs>
          <w:tab w:val="left" w:pos="5250"/>
        </w:tabs>
        <w:rPr>
          <w:rFonts w:cs="Tahoma"/>
          <w:sz w:val="21"/>
          <w:szCs w:val="21"/>
          <w:lang w:val="pt-BR"/>
        </w:rPr>
      </w:pPr>
      <w:r w:rsidRPr="00EB5AAB">
        <w:rPr>
          <w:rFonts w:cs="Tahoma"/>
          <w:sz w:val="21"/>
          <w:szCs w:val="21"/>
        </w:rPr>
        <w:t>Ramírez Maynetto.</w:t>
      </w:r>
    </w:p>
    <w:p w:rsidR="002E78D8" w:rsidRPr="00EB5AAB" w:rsidRDefault="002E78D8" w:rsidP="002E78D8">
      <w:pPr>
        <w:pStyle w:val="Textoindependiente21"/>
        <w:rPr>
          <w:rFonts w:cs="Tahoma"/>
          <w:sz w:val="21"/>
          <w:szCs w:val="21"/>
        </w:rPr>
      </w:pPr>
      <w:r w:rsidRPr="00EB5AAB">
        <w:rPr>
          <w:rFonts w:cs="Tahoma"/>
          <w:sz w:val="21"/>
          <w:szCs w:val="21"/>
        </w:rPr>
        <w:t>Basulto Liewald.</w:t>
      </w:r>
    </w:p>
    <w:p w:rsidR="002E78D8" w:rsidRPr="0011699D" w:rsidRDefault="002E78D8" w:rsidP="002E78D8">
      <w:pPr>
        <w:rPr>
          <w:rFonts w:ascii="Tahoma" w:hAnsi="Tahoma" w:cs="Tahoma"/>
          <w:sz w:val="21"/>
          <w:szCs w:val="21"/>
        </w:rPr>
      </w:pPr>
    </w:p>
    <w:p w:rsidR="002E78D8" w:rsidRPr="0011699D" w:rsidRDefault="002E78D8" w:rsidP="002E78D8">
      <w:pPr>
        <w:rPr>
          <w:rFonts w:ascii="Tahoma" w:hAnsi="Tahoma" w:cs="Tahoma"/>
          <w:sz w:val="21"/>
          <w:szCs w:val="21"/>
        </w:rPr>
      </w:pPr>
    </w:p>
    <w:p w:rsidR="007234C9" w:rsidRDefault="007234C9" w:rsidP="002E78D8">
      <w:pPr>
        <w:jc w:val="both"/>
      </w:pPr>
    </w:p>
    <w:sectPr w:rsidR="007234C9" w:rsidSect="007234C9">
      <w:headerReference w:type="default" r:id="rId10"/>
      <w:footerReference w:type="even" r:id="rId11"/>
      <w:footerReference w:type="default" r:id="rId12"/>
      <w:pgSz w:w="11907" w:h="16840" w:code="9"/>
      <w:pgMar w:top="3232" w:right="1701" w:bottom="1418" w:left="1701" w:header="720" w:footer="69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5A64" w:rsidRDefault="009A5A64" w:rsidP="002E78D8">
      <w:r>
        <w:separator/>
      </w:r>
    </w:p>
  </w:endnote>
  <w:endnote w:type="continuationSeparator" w:id="1">
    <w:p w:rsidR="009A5A64" w:rsidRDefault="009A5A64" w:rsidP="002E78D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Humnst777 BT">
    <w:altName w:val="Humnst777 BT"/>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34C9" w:rsidRDefault="00D04D0A" w:rsidP="007234C9">
    <w:pPr>
      <w:pStyle w:val="Piedepgina"/>
      <w:framePr w:wrap="around" w:vAnchor="text" w:hAnchor="margin" w:xAlign="center" w:y="1"/>
      <w:rPr>
        <w:rStyle w:val="Nmerodepgina"/>
      </w:rPr>
    </w:pPr>
    <w:r>
      <w:rPr>
        <w:rStyle w:val="Nmerodepgina"/>
      </w:rPr>
      <w:fldChar w:fldCharType="begin"/>
    </w:r>
    <w:r w:rsidR="007234C9">
      <w:rPr>
        <w:rStyle w:val="Nmerodepgina"/>
      </w:rPr>
      <w:instrText xml:space="preserve">PAGE  </w:instrText>
    </w:r>
    <w:r>
      <w:rPr>
        <w:rStyle w:val="Nmerodepgina"/>
      </w:rPr>
      <w:fldChar w:fldCharType="end"/>
    </w:r>
  </w:p>
  <w:p w:rsidR="007234C9" w:rsidRDefault="007234C9">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34C9" w:rsidRDefault="007234C9">
    <w:pPr>
      <w:pStyle w:val="Piedepgina"/>
      <w:jc w:val="center"/>
    </w:pPr>
    <w:r>
      <w:t xml:space="preserve">Página </w:t>
    </w:r>
    <w:r w:rsidR="00D04D0A">
      <w:rPr>
        <w:b/>
        <w:szCs w:val="24"/>
      </w:rPr>
      <w:fldChar w:fldCharType="begin"/>
    </w:r>
    <w:r>
      <w:rPr>
        <w:b/>
      </w:rPr>
      <w:instrText>PAGE</w:instrText>
    </w:r>
    <w:r w:rsidR="00D04D0A">
      <w:rPr>
        <w:b/>
        <w:szCs w:val="24"/>
      </w:rPr>
      <w:fldChar w:fldCharType="separate"/>
    </w:r>
    <w:r w:rsidR="00287BDB">
      <w:rPr>
        <w:b/>
        <w:noProof/>
      </w:rPr>
      <w:t>1</w:t>
    </w:r>
    <w:r w:rsidR="00D04D0A">
      <w:rPr>
        <w:b/>
        <w:szCs w:val="24"/>
      </w:rPr>
      <w:fldChar w:fldCharType="end"/>
    </w:r>
    <w:r>
      <w:t xml:space="preserve"> de </w:t>
    </w:r>
    <w:r w:rsidR="00D04D0A">
      <w:rPr>
        <w:b/>
        <w:szCs w:val="24"/>
      </w:rPr>
      <w:fldChar w:fldCharType="begin"/>
    </w:r>
    <w:r>
      <w:rPr>
        <w:b/>
      </w:rPr>
      <w:instrText>NUMPAGES</w:instrText>
    </w:r>
    <w:r w:rsidR="00D04D0A">
      <w:rPr>
        <w:b/>
        <w:szCs w:val="24"/>
      </w:rPr>
      <w:fldChar w:fldCharType="separate"/>
    </w:r>
    <w:r w:rsidR="00287BDB">
      <w:rPr>
        <w:b/>
        <w:noProof/>
      </w:rPr>
      <w:t>48</w:t>
    </w:r>
    <w:r w:rsidR="00D04D0A">
      <w:rPr>
        <w:b/>
        <w:szCs w:val="24"/>
      </w:rPr>
      <w:fldChar w:fldCharType="end"/>
    </w:r>
  </w:p>
  <w:p w:rsidR="007234C9" w:rsidRDefault="007234C9">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5A64" w:rsidRDefault="009A5A64" w:rsidP="002E78D8">
      <w:r>
        <w:separator/>
      </w:r>
    </w:p>
  </w:footnote>
  <w:footnote w:type="continuationSeparator" w:id="1">
    <w:p w:rsidR="009A5A64" w:rsidRDefault="009A5A64" w:rsidP="002E78D8">
      <w:r>
        <w:continuationSeparator/>
      </w:r>
    </w:p>
  </w:footnote>
  <w:footnote w:id="2">
    <w:p w:rsidR="007234C9" w:rsidRDefault="007234C9" w:rsidP="002E78D8">
      <w:pPr>
        <w:pStyle w:val="Textonotapie"/>
      </w:pPr>
      <w:r>
        <w:rPr>
          <w:rStyle w:val="Refdenotaalpie"/>
        </w:rPr>
        <w:footnoteRef/>
      </w:r>
      <w:r>
        <w:t xml:space="preserve"> CHRISTIAN GUZMAN Napuri. “La Administración Pública y el Procedimiento Administrativo General”. Lima: ARA Editores E.I.R.L., 2004. </w:t>
      </w:r>
    </w:p>
  </w:footnote>
  <w:footnote w:id="3">
    <w:p w:rsidR="007234C9" w:rsidRPr="009A0D65" w:rsidRDefault="007234C9" w:rsidP="002E78D8">
      <w:pPr>
        <w:pStyle w:val="Textonotapie"/>
        <w:jc w:val="both"/>
        <w:rPr>
          <w:rFonts w:ascii="Tahoma" w:hAnsi="Tahoma" w:cs="Tahoma"/>
          <w:sz w:val="18"/>
          <w:szCs w:val="18"/>
        </w:rPr>
      </w:pPr>
      <w:r w:rsidRPr="009949AC">
        <w:rPr>
          <w:rStyle w:val="Refdenotaalpie"/>
          <w:rFonts w:ascii="Tahoma" w:hAnsi="Tahoma" w:cs="Tahoma"/>
        </w:rPr>
        <w:footnoteRef/>
      </w:r>
      <w:r w:rsidRPr="009949AC">
        <w:rPr>
          <w:rFonts w:ascii="Tahoma" w:hAnsi="Tahoma" w:cs="Tahoma"/>
        </w:rPr>
        <w:t xml:space="preserve"> </w:t>
      </w:r>
      <w:r w:rsidRPr="009A0D65">
        <w:rPr>
          <w:rFonts w:ascii="Tahoma" w:hAnsi="Tahoma" w:cs="Tahoma"/>
          <w:sz w:val="18"/>
          <w:szCs w:val="18"/>
        </w:rPr>
        <w:t xml:space="preserve">Rodríguez Velarde, Javier. “Contratación Empresarial”. Citado por Osorio Ruiz, Zaida. “Contratos Comerciales, Empresariales y Arbitraje”. Lima. IDEMSA, Año 2002. Pág. 136. </w:t>
      </w:r>
    </w:p>
  </w:footnote>
  <w:footnote w:id="4">
    <w:p w:rsidR="007234C9" w:rsidRDefault="007234C9" w:rsidP="002E78D8">
      <w:pPr>
        <w:pStyle w:val="Textonotapie"/>
      </w:pPr>
      <w:r w:rsidRPr="009A0D65">
        <w:rPr>
          <w:rStyle w:val="Refdenotaalpie"/>
          <w:rFonts w:ascii="Tahoma" w:hAnsi="Tahoma" w:cs="Tahoma"/>
          <w:sz w:val="18"/>
          <w:szCs w:val="18"/>
        </w:rPr>
        <w:footnoteRef/>
      </w:r>
      <w:r w:rsidRPr="009A0D65">
        <w:rPr>
          <w:rFonts w:ascii="Tahoma" w:hAnsi="Tahoma" w:cs="Tahoma"/>
          <w:sz w:val="18"/>
          <w:szCs w:val="18"/>
        </w:rPr>
        <w:t xml:space="preserve"> Alcántara Francia, Olga Alejandra. “EL CONTRATO DE DISTRIBUCIÓN CON ESPECIAL REFERENCIA AL CONTRATO DE DISTRIBUCIÓN SELECTIVA”</w:t>
      </w:r>
      <w:r>
        <w:rPr>
          <w:rFonts w:ascii="Tahoma" w:hAnsi="Tahoma" w:cs="Tahoma"/>
          <w:sz w:val="18"/>
          <w:szCs w:val="18"/>
        </w:rPr>
        <w:t>. En: TRATADO DE DERECHO MERCANTIL tomo III. Gaceta Jurídica. Pág. 325</w:t>
      </w:r>
    </w:p>
  </w:footnote>
  <w:footnote w:id="5">
    <w:p w:rsidR="007234C9" w:rsidRPr="001F4EFE" w:rsidRDefault="007234C9" w:rsidP="002E78D8">
      <w:pPr>
        <w:ind w:left="578"/>
        <w:jc w:val="both"/>
        <w:rPr>
          <w:rFonts w:ascii="Tahoma" w:hAnsi="Tahoma" w:cs="Tahoma"/>
          <w:b/>
          <w:bCs/>
          <w:sz w:val="18"/>
          <w:szCs w:val="18"/>
        </w:rPr>
      </w:pPr>
      <w:r w:rsidRPr="001F4EFE">
        <w:rPr>
          <w:rStyle w:val="Refdenotaalpie"/>
          <w:rFonts w:ascii="Tahoma" w:hAnsi="Tahoma" w:cs="Tahoma"/>
          <w:sz w:val="18"/>
          <w:szCs w:val="18"/>
        </w:rPr>
        <w:footnoteRef/>
      </w:r>
      <w:r w:rsidRPr="001F4EFE">
        <w:rPr>
          <w:rFonts w:ascii="Tahoma" w:hAnsi="Tahoma" w:cs="Tahoma"/>
          <w:sz w:val="18"/>
          <w:szCs w:val="18"/>
        </w:rPr>
        <w:t xml:space="preserve"> </w:t>
      </w:r>
      <w:r w:rsidRPr="001F4EFE">
        <w:rPr>
          <w:rFonts w:ascii="Tahoma" w:hAnsi="Tahoma" w:cs="Tahoma"/>
          <w:b/>
          <w:bCs/>
          <w:sz w:val="18"/>
          <w:szCs w:val="18"/>
        </w:rPr>
        <w:t>20= {(20/1) X (1)}</w:t>
      </w:r>
    </w:p>
    <w:p w:rsidR="007234C9" w:rsidRDefault="007234C9" w:rsidP="002E78D8">
      <w:pPr>
        <w:pStyle w:val="Textonotapie"/>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1115" w:rsidRDefault="00287BDB" w:rsidP="00D01115">
    <w:pPr>
      <w:pStyle w:val="Encabezado"/>
      <w:rPr>
        <w:noProof/>
      </w:rPr>
    </w:pPr>
    <w:r>
      <w:rPr>
        <w:noProof/>
      </w:rPr>
      <w:drawing>
        <wp:anchor distT="0" distB="0" distL="114300" distR="114300" simplePos="0" relativeHeight="251657728"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2"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a:ln w="9525">
                    <a:noFill/>
                    <a:miter lim="800000"/>
                    <a:headEnd/>
                    <a:tailEnd/>
                  </a:ln>
                </pic:spPr>
              </pic:pic>
            </a:graphicData>
          </a:graphic>
        </wp:anchor>
      </w:drawing>
    </w:r>
  </w:p>
  <w:p w:rsidR="00D01115" w:rsidRDefault="00D01115" w:rsidP="00D01115">
    <w:pPr>
      <w:pStyle w:val="Encabezado"/>
      <w:rPr>
        <w:noProof/>
      </w:rPr>
    </w:pPr>
  </w:p>
  <w:p w:rsidR="00D01115" w:rsidRDefault="00D01115" w:rsidP="00D01115">
    <w:pPr>
      <w:pStyle w:val="Encabezado"/>
      <w:rPr>
        <w:noProof/>
      </w:rPr>
    </w:pPr>
  </w:p>
  <w:p w:rsidR="00D01115" w:rsidRDefault="00D01115" w:rsidP="00D01115">
    <w:pPr>
      <w:pStyle w:val="Encabezado"/>
      <w:rPr>
        <w:noProof/>
      </w:rPr>
    </w:pPr>
  </w:p>
  <w:p w:rsidR="00D01115" w:rsidRDefault="00D01115" w:rsidP="00D01115">
    <w:pPr>
      <w:pStyle w:val="Encabezado"/>
      <w:jc w:val="center"/>
    </w:pPr>
    <w:r>
      <w:rPr>
        <w:rFonts w:ascii="Monotype Corsiva" w:hAnsi="Monotype Corsiva"/>
        <w:b/>
        <w:sz w:val="44"/>
        <w:szCs w:val="44"/>
      </w:rPr>
      <w:t xml:space="preserve">Resolución Nº   </w:t>
    </w:r>
    <w:r>
      <w:rPr>
        <w:rFonts w:ascii="Tahoma" w:hAnsi="Tahoma" w:cs="Tahoma"/>
        <w:b/>
        <w:sz w:val="44"/>
        <w:szCs w:val="44"/>
      </w:rPr>
      <w:t>600-2011-TC-S1</w:t>
    </w:r>
  </w:p>
  <w:p w:rsidR="00D01115" w:rsidRDefault="00D01115">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51871"/>
    <w:multiLevelType w:val="hybridMultilevel"/>
    <w:tmpl w:val="D1F8BC1E"/>
    <w:lvl w:ilvl="0" w:tplc="0C0A001B">
      <w:start w:val="1"/>
      <w:numFmt w:val="low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018B5985"/>
    <w:multiLevelType w:val="hybridMultilevel"/>
    <w:tmpl w:val="D27EE93C"/>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2">
    <w:nsid w:val="03433D71"/>
    <w:multiLevelType w:val="hybridMultilevel"/>
    <w:tmpl w:val="8BA836B6"/>
    <w:lvl w:ilvl="0" w:tplc="0C0A0017">
      <w:start w:val="1"/>
      <w:numFmt w:val="lowerLetter"/>
      <w:lvlText w:val="%1)"/>
      <w:lvlJc w:val="left"/>
      <w:pPr>
        <w:ind w:left="1260" w:hanging="360"/>
      </w:pPr>
    </w:lvl>
    <w:lvl w:ilvl="1" w:tplc="0C0A0019" w:tentative="1">
      <w:start w:val="1"/>
      <w:numFmt w:val="lowerLetter"/>
      <w:lvlText w:val="%2."/>
      <w:lvlJc w:val="left"/>
      <w:pPr>
        <w:ind w:left="1980" w:hanging="360"/>
      </w:pPr>
    </w:lvl>
    <w:lvl w:ilvl="2" w:tplc="0C0A001B" w:tentative="1">
      <w:start w:val="1"/>
      <w:numFmt w:val="lowerRoman"/>
      <w:lvlText w:val="%3."/>
      <w:lvlJc w:val="right"/>
      <w:pPr>
        <w:ind w:left="2700" w:hanging="180"/>
      </w:pPr>
    </w:lvl>
    <w:lvl w:ilvl="3" w:tplc="0C0A000F" w:tentative="1">
      <w:start w:val="1"/>
      <w:numFmt w:val="decimal"/>
      <w:lvlText w:val="%4."/>
      <w:lvlJc w:val="left"/>
      <w:pPr>
        <w:ind w:left="3420" w:hanging="360"/>
      </w:pPr>
    </w:lvl>
    <w:lvl w:ilvl="4" w:tplc="0C0A0019" w:tentative="1">
      <w:start w:val="1"/>
      <w:numFmt w:val="lowerLetter"/>
      <w:lvlText w:val="%5."/>
      <w:lvlJc w:val="left"/>
      <w:pPr>
        <w:ind w:left="4140" w:hanging="360"/>
      </w:pPr>
    </w:lvl>
    <w:lvl w:ilvl="5" w:tplc="0C0A001B" w:tentative="1">
      <w:start w:val="1"/>
      <w:numFmt w:val="lowerRoman"/>
      <w:lvlText w:val="%6."/>
      <w:lvlJc w:val="right"/>
      <w:pPr>
        <w:ind w:left="4860" w:hanging="180"/>
      </w:pPr>
    </w:lvl>
    <w:lvl w:ilvl="6" w:tplc="0C0A000F" w:tentative="1">
      <w:start w:val="1"/>
      <w:numFmt w:val="decimal"/>
      <w:lvlText w:val="%7."/>
      <w:lvlJc w:val="left"/>
      <w:pPr>
        <w:ind w:left="5580" w:hanging="360"/>
      </w:pPr>
    </w:lvl>
    <w:lvl w:ilvl="7" w:tplc="0C0A0019" w:tentative="1">
      <w:start w:val="1"/>
      <w:numFmt w:val="lowerLetter"/>
      <w:lvlText w:val="%8."/>
      <w:lvlJc w:val="left"/>
      <w:pPr>
        <w:ind w:left="6300" w:hanging="360"/>
      </w:pPr>
    </w:lvl>
    <w:lvl w:ilvl="8" w:tplc="0C0A001B" w:tentative="1">
      <w:start w:val="1"/>
      <w:numFmt w:val="lowerRoman"/>
      <w:lvlText w:val="%9."/>
      <w:lvlJc w:val="right"/>
      <w:pPr>
        <w:ind w:left="7020" w:hanging="180"/>
      </w:pPr>
    </w:lvl>
  </w:abstractNum>
  <w:abstractNum w:abstractNumId="3">
    <w:nsid w:val="070E5D97"/>
    <w:multiLevelType w:val="hybridMultilevel"/>
    <w:tmpl w:val="6BD0A44C"/>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4">
    <w:nsid w:val="074108FB"/>
    <w:multiLevelType w:val="hybridMultilevel"/>
    <w:tmpl w:val="7EF2AB58"/>
    <w:lvl w:ilvl="0" w:tplc="0C0A0015">
      <w:start w:val="1"/>
      <w:numFmt w:val="upp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5">
    <w:nsid w:val="0928650B"/>
    <w:multiLevelType w:val="hybridMultilevel"/>
    <w:tmpl w:val="5C78FC5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0B3933F7"/>
    <w:multiLevelType w:val="hybridMultilevel"/>
    <w:tmpl w:val="8382860C"/>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7">
    <w:nsid w:val="13BC5131"/>
    <w:multiLevelType w:val="hybridMultilevel"/>
    <w:tmpl w:val="0D5E343C"/>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8">
    <w:nsid w:val="15F17DB2"/>
    <w:multiLevelType w:val="hybridMultilevel"/>
    <w:tmpl w:val="49F0EA04"/>
    <w:lvl w:ilvl="0" w:tplc="C08A2646">
      <w:start w:val="1"/>
      <w:numFmt w:val="decimal"/>
      <w:lvlText w:val="%1."/>
      <w:lvlJc w:val="left"/>
      <w:pPr>
        <w:tabs>
          <w:tab w:val="num" w:pos="720"/>
        </w:tabs>
        <w:ind w:left="720" w:hanging="360"/>
      </w:pPr>
      <w:rPr>
        <w:rFonts w:ascii="Bookman Old Style" w:hAnsi="Bookman Old Style" w:cs="Tahoma" w:hint="default"/>
        <w:b/>
        <w:i w:val="0"/>
        <w:sz w:val="23"/>
        <w:szCs w:val="23"/>
      </w:rPr>
    </w:lvl>
    <w:lvl w:ilvl="1" w:tplc="280A0019">
      <w:start w:val="1"/>
      <w:numFmt w:val="lowerLetter"/>
      <w:lvlText w:val="%2."/>
      <w:lvlJc w:val="left"/>
      <w:pPr>
        <w:tabs>
          <w:tab w:val="num" w:pos="1440"/>
        </w:tabs>
        <w:ind w:left="1440" w:hanging="360"/>
      </w:pPr>
      <w:rPr>
        <w:rFonts w:cs="Times New Roman"/>
      </w:rPr>
    </w:lvl>
    <w:lvl w:ilvl="2" w:tplc="280A001B" w:tentative="1">
      <w:start w:val="1"/>
      <w:numFmt w:val="lowerRoman"/>
      <w:lvlText w:val="%3."/>
      <w:lvlJc w:val="right"/>
      <w:pPr>
        <w:tabs>
          <w:tab w:val="num" w:pos="2160"/>
        </w:tabs>
        <w:ind w:left="2160" w:hanging="180"/>
      </w:pPr>
      <w:rPr>
        <w:rFonts w:cs="Times New Roman"/>
      </w:rPr>
    </w:lvl>
    <w:lvl w:ilvl="3" w:tplc="280A000F" w:tentative="1">
      <w:start w:val="1"/>
      <w:numFmt w:val="decimal"/>
      <w:lvlText w:val="%4."/>
      <w:lvlJc w:val="left"/>
      <w:pPr>
        <w:tabs>
          <w:tab w:val="num" w:pos="2880"/>
        </w:tabs>
        <w:ind w:left="2880" w:hanging="360"/>
      </w:pPr>
      <w:rPr>
        <w:rFonts w:cs="Times New Roman"/>
      </w:rPr>
    </w:lvl>
    <w:lvl w:ilvl="4" w:tplc="280A0019" w:tentative="1">
      <w:start w:val="1"/>
      <w:numFmt w:val="lowerLetter"/>
      <w:lvlText w:val="%5."/>
      <w:lvlJc w:val="left"/>
      <w:pPr>
        <w:tabs>
          <w:tab w:val="num" w:pos="3600"/>
        </w:tabs>
        <w:ind w:left="3600" w:hanging="360"/>
      </w:pPr>
      <w:rPr>
        <w:rFonts w:cs="Times New Roman"/>
      </w:rPr>
    </w:lvl>
    <w:lvl w:ilvl="5" w:tplc="280A001B" w:tentative="1">
      <w:start w:val="1"/>
      <w:numFmt w:val="lowerRoman"/>
      <w:lvlText w:val="%6."/>
      <w:lvlJc w:val="right"/>
      <w:pPr>
        <w:tabs>
          <w:tab w:val="num" w:pos="4320"/>
        </w:tabs>
        <w:ind w:left="4320" w:hanging="180"/>
      </w:pPr>
      <w:rPr>
        <w:rFonts w:cs="Times New Roman"/>
      </w:rPr>
    </w:lvl>
    <w:lvl w:ilvl="6" w:tplc="280A000F" w:tentative="1">
      <w:start w:val="1"/>
      <w:numFmt w:val="decimal"/>
      <w:lvlText w:val="%7."/>
      <w:lvlJc w:val="left"/>
      <w:pPr>
        <w:tabs>
          <w:tab w:val="num" w:pos="5040"/>
        </w:tabs>
        <w:ind w:left="5040" w:hanging="360"/>
      </w:pPr>
      <w:rPr>
        <w:rFonts w:cs="Times New Roman"/>
      </w:rPr>
    </w:lvl>
    <w:lvl w:ilvl="7" w:tplc="280A0019" w:tentative="1">
      <w:start w:val="1"/>
      <w:numFmt w:val="lowerLetter"/>
      <w:lvlText w:val="%8."/>
      <w:lvlJc w:val="left"/>
      <w:pPr>
        <w:tabs>
          <w:tab w:val="num" w:pos="5760"/>
        </w:tabs>
        <w:ind w:left="5760" w:hanging="360"/>
      </w:pPr>
      <w:rPr>
        <w:rFonts w:cs="Times New Roman"/>
      </w:rPr>
    </w:lvl>
    <w:lvl w:ilvl="8" w:tplc="280A001B" w:tentative="1">
      <w:start w:val="1"/>
      <w:numFmt w:val="lowerRoman"/>
      <w:lvlText w:val="%9."/>
      <w:lvlJc w:val="right"/>
      <w:pPr>
        <w:tabs>
          <w:tab w:val="num" w:pos="6480"/>
        </w:tabs>
        <w:ind w:left="6480" w:hanging="180"/>
      </w:pPr>
      <w:rPr>
        <w:rFonts w:cs="Times New Roman"/>
      </w:rPr>
    </w:lvl>
  </w:abstractNum>
  <w:abstractNum w:abstractNumId="9">
    <w:nsid w:val="16C9597D"/>
    <w:multiLevelType w:val="hybridMultilevel"/>
    <w:tmpl w:val="C428DCE6"/>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0">
    <w:nsid w:val="1F8A2DAE"/>
    <w:multiLevelType w:val="hybridMultilevel"/>
    <w:tmpl w:val="0DE200DC"/>
    <w:lvl w:ilvl="0" w:tplc="9DD21FF2">
      <w:start w:val="1"/>
      <w:numFmt w:val="lowerLetter"/>
      <w:lvlText w:val="%1)"/>
      <w:lvlJc w:val="left"/>
      <w:pPr>
        <w:ind w:left="1778" w:hanging="360"/>
      </w:pPr>
      <w:rPr>
        <w:rFonts w:hint="default"/>
      </w:rPr>
    </w:lvl>
    <w:lvl w:ilvl="1" w:tplc="280A0019" w:tentative="1">
      <w:start w:val="1"/>
      <w:numFmt w:val="lowerLetter"/>
      <w:lvlText w:val="%2."/>
      <w:lvlJc w:val="left"/>
      <w:pPr>
        <w:ind w:left="2498" w:hanging="360"/>
      </w:pPr>
    </w:lvl>
    <w:lvl w:ilvl="2" w:tplc="280A001B" w:tentative="1">
      <w:start w:val="1"/>
      <w:numFmt w:val="lowerRoman"/>
      <w:lvlText w:val="%3."/>
      <w:lvlJc w:val="right"/>
      <w:pPr>
        <w:ind w:left="3218" w:hanging="180"/>
      </w:pPr>
    </w:lvl>
    <w:lvl w:ilvl="3" w:tplc="280A000F" w:tentative="1">
      <w:start w:val="1"/>
      <w:numFmt w:val="decimal"/>
      <w:lvlText w:val="%4."/>
      <w:lvlJc w:val="left"/>
      <w:pPr>
        <w:ind w:left="3938" w:hanging="360"/>
      </w:pPr>
    </w:lvl>
    <w:lvl w:ilvl="4" w:tplc="280A0019" w:tentative="1">
      <w:start w:val="1"/>
      <w:numFmt w:val="lowerLetter"/>
      <w:lvlText w:val="%5."/>
      <w:lvlJc w:val="left"/>
      <w:pPr>
        <w:ind w:left="4658" w:hanging="360"/>
      </w:pPr>
    </w:lvl>
    <w:lvl w:ilvl="5" w:tplc="280A001B" w:tentative="1">
      <w:start w:val="1"/>
      <w:numFmt w:val="lowerRoman"/>
      <w:lvlText w:val="%6."/>
      <w:lvlJc w:val="right"/>
      <w:pPr>
        <w:ind w:left="5378" w:hanging="180"/>
      </w:pPr>
    </w:lvl>
    <w:lvl w:ilvl="6" w:tplc="280A000F" w:tentative="1">
      <w:start w:val="1"/>
      <w:numFmt w:val="decimal"/>
      <w:lvlText w:val="%7."/>
      <w:lvlJc w:val="left"/>
      <w:pPr>
        <w:ind w:left="6098" w:hanging="360"/>
      </w:pPr>
    </w:lvl>
    <w:lvl w:ilvl="7" w:tplc="280A0019" w:tentative="1">
      <w:start w:val="1"/>
      <w:numFmt w:val="lowerLetter"/>
      <w:lvlText w:val="%8."/>
      <w:lvlJc w:val="left"/>
      <w:pPr>
        <w:ind w:left="6818" w:hanging="360"/>
      </w:pPr>
    </w:lvl>
    <w:lvl w:ilvl="8" w:tplc="280A001B" w:tentative="1">
      <w:start w:val="1"/>
      <w:numFmt w:val="lowerRoman"/>
      <w:lvlText w:val="%9."/>
      <w:lvlJc w:val="right"/>
      <w:pPr>
        <w:ind w:left="7538" w:hanging="180"/>
      </w:pPr>
    </w:lvl>
  </w:abstractNum>
  <w:abstractNum w:abstractNumId="11">
    <w:nsid w:val="22F83D72"/>
    <w:multiLevelType w:val="hybridMultilevel"/>
    <w:tmpl w:val="102A6238"/>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2">
    <w:nsid w:val="247545FB"/>
    <w:multiLevelType w:val="hybridMultilevel"/>
    <w:tmpl w:val="DA6C0BD4"/>
    <w:lvl w:ilvl="0" w:tplc="0C0A0017">
      <w:start w:val="1"/>
      <w:numFmt w:val="lowerLetter"/>
      <w:lvlText w:val="%1)"/>
      <w:lvlJc w:val="left"/>
      <w:pPr>
        <w:ind w:left="1260" w:hanging="360"/>
      </w:pPr>
    </w:lvl>
    <w:lvl w:ilvl="1" w:tplc="0C0A0019" w:tentative="1">
      <w:start w:val="1"/>
      <w:numFmt w:val="lowerLetter"/>
      <w:lvlText w:val="%2."/>
      <w:lvlJc w:val="left"/>
      <w:pPr>
        <w:ind w:left="1980" w:hanging="360"/>
      </w:pPr>
    </w:lvl>
    <w:lvl w:ilvl="2" w:tplc="0C0A001B" w:tentative="1">
      <w:start w:val="1"/>
      <w:numFmt w:val="lowerRoman"/>
      <w:lvlText w:val="%3."/>
      <w:lvlJc w:val="right"/>
      <w:pPr>
        <w:ind w:left="2700" w:hanging="180"/>
      </w:pPr>
    </w:lvl>
    <w:lvl w:ilvl="3" w:tplc="0C0A000F" w:tentative="1">
      <w:start w:val="1"/>
      <w:numFmt w:val="decimal"/>
      <w:lvlText w:val="%4."/>
      <w:lvlJc w:val="left"/>
      <w:pPr>
        <w:ind w:left="3420" w:hanging="360"/>
      </w:pPr>
    </w:lvl>
    <w:lvl w:ilvl="4" w:tplc="0C0A0019" w:tentative="1">
      <w:start w:val="1"/>
      <w:numFmt w:val="lowerLetter"/>
      <w:lvlText w:val="%5."/>
      <w:lvlJc w:val="left"/>
      <w:pPr>
        <w:ind w:left="4140" w:hanging="360"/>
      </w:pPr>
    </w:lvl>
    <w:lvl w:ilvl="5" w:tplc="0C0A001B" w:tentative="1">
      <w:start w:val="1"/>
      <w:numFmt w:val="lowerRoman"/>
      <w:lvlText w:val="%6."/>
      <w:lvlJc w:val="right"/>
      <w:pPr>
        <w:ind w:left="4860" w:hanging="180"/>
      </w:pPr>
    </w:lvl>
    <w:lvl w:ilvl="6" w:tplc="0C0A000F" w:tentative="1">
      <w:start w:val="1"/>
      <w:numFmt w:val="decimal"/>
      <w:lvlText w:val="%7."/>
      <w:lvlJc w:val="left"/>
      <w:pPr>
        <w:ind w:left="5580" w:hanging="360"/>
      </w:pPr>
    </w:lvl>
    <w:lvl w:ilvl="7" w:tplc="0C0A0019" w:tentative="1">
      <w:start w:val="1"/>
      <w:numFmt w:val="lowerLetter"/>
      <w:lvlText w:val="%8."/>
      <w:lvlJc w:val="left"/>
      <w:pPr>
        <w:ind w:left="6300" w:hanging="360"/>
      </w:pPr>
    </w:lvl>
    <w:lvl w:ilvl="8" w:tplc="0C0A001B" w:tentative="1">
      <w:start w:val="1"/>
      <w:numFmt w:val="lowerRoman"/>
      <w:lvlText w:val="%9."/>
      <w:lvlJc w:val="right"/>
      <w:pPr>
        <w:ind w:left="7020" w:hanging="180"/>
      </w:pPr>
    </w:lvl>
  </w:abstractNum>
  <w:abstractNum w:abstractNumId="13">
    <w:nsid w:val="2C9507CC"/>
    <w:multiLevelType w:val="hybridMultilevel"/>
    <w:tmpl w:val="A844AF0E"/>
    <w:lvl w:ilvl="0" w:tplc="0C0A001B">
      <w:start w:val="1"/>
      <w:numFmt w:val="lowerRoman"/>
      <w:lvlText w:val="%1."/>
      <w:lvlJc w:val="righ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4">
    <w:nsid w:val="303D4F1B"/>
    <w:multiLevelType w:val="hybridMultilevel"/>
    <w:tmpl w:val="2C82CB8A"/>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5">
    <w:nsid w:val="3265126A"/>
    <w:multiLevelType w:val="hybridMultilevel"/>
    <w:tmpl w:val="41ACD914"/>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6">
    <w:nsid w:val="33381E42"/>
    <w:multiLevelType w:val="hybridMultilevel"/>
    <w:tmpl w:val="051EB870"/>
    <w:lvl w:ilvl="0" w:tplc="2F485430">
      <w:start w:val="1"/>
      <w:numFmt w:val="upperRoman"/>
      <w:lvlText w:val="%1."/>
      <w:lvlJc w:val="righ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nsid w:val="376908DC"/>
    <w:multiLevelType w:val="hybridMultilevel"/>
    <w:tmpl w:val="30BE4C22"/>
    <w:lvl w:ilvl="0" w:tplc="0C0A001B">
      <w:start w:val="1"/>
      <w:numFmt w:val="low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nsid w:val="390D6C3B"/>
    <w:multiLevelType w:val="hybridMultilevel"/>
    <w:tmpl w:val="E61C4604"/>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9">
    <w:nsid w:val="3F3A4978"/>
    <w:multiLevelType w:val="hybridMultilevel"/>
    <w:tmpl w:val="E1C27CC6"/>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20">
    <w:nsid w:val="4A96150A"/>
    <w:multiLevelType w:val="hybridMultilevel"/>
    <w:tmpl w:val="BFD60A1E"/>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21">
    <w:nsid w:val="503D7D0C"/>
    <w:multiLevelType w:val="hybridMultilevel"/>
    <w:tmpl w:val="0B38DDBE"/>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nsid w:val="55A97990"/>
    <w:multiLevelType w:val="hybridMultilevel"/>
    <w:tmpl w:val="D56C4DD6"/>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23">
    <w:nsid w:val="5C3F1D62"/>
    <w:multiLevelType w:val="hybridMultilevel"/>
    <w:tmpl w:val="C798931A"/>
    <w:lvl w:ilvl="0" w:tplc="6BB69D48">
      <w:start w:val="1"/>
      <w:numFmt w:val="decimal"/>
      <w:lvlText w:val="%1."/>
      <w:lvlJc w:val="left"/>
      <w:pPr>
        <w:tabs>
          <w:tab w:val="num" w:pos="454"/>
        </w:tabs>
        <w:ind w:left="454" w:hanging="454"/>
      </w:pPr>
      <w:rPr>
        <w:rFonts w:ascii="Tahoma" w:hAnsi="Tahoma" w:cs="Tahoma" w:hint="default"/>
        <w:b/>
        <w:i w:val="0"/>
        <w:shadow w:val="0"/>
        <w:sz w:val="20"/>
        <w:szCs w:val="20"/>
        <w:u w:color="FFFFFF"/>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4">
    <w:nsid w:val="5DBA025C"/>
    <w:multiLevelType w:val="singleLevel"/>
    <w:tmpl w:val="3630576C"/>
    <w:lvl w:ilvl="0">
      <w:start w:val="1"/>
      <w:numFmt w:val="decimal"/>
      <w:lvlText w:val="%1."/>
      <w:legacy w:legacy="1" w:legacySpace="0" w:legacyIndent="360"/>
      <w:lvlJc w:val="left"/>
      <w:rPr>
        <w:rFonts w:ascii="Tahoma" w:hAnsi="Tahoma" w:cs="Tahoma" w:hint="default"/>
        <w:b/>
      </w:rPr>
    </w:lvl>
  </w:abstractNum>
  <w:abstractNum w:abstractNumId="25">
    <w:nsid w:val="5DFD7445"/>
    <w:multiLevelType w:val="hybridMultilevel"/>
    <w:tmpl w:val="6C4AF314"/>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26">
    <w:nsid w:val="627312E3"/>
    <w:multiLevelType w:val="hybridMultilevel"/>
    <w:tmpl w:val="983240F0"/>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nsid w:val="62D136BC"/>
    <w:multiLevelType w:val="hybridMultilevel"/>
    <w:tmpl w:val="F5BAA696"/>
    <w:lvl w:ilvl="0" w:tplc="0C0A0017">
      <w:start w:val="1"/>
      <w:numFmt w:val="lowerLetter"/>
      <w:lvlText w:val="%1)"/>
      <w:lvlJc w:val="left"/>
      <w:pPr>
        <w:ind w:left="1260" w:hanging="360"/>
      </w:pPr>
    </w:lvl>
    <w:lvl w:ilvl="1" w:tplc="0C0A0019" w:tentative="1">
      <w:start w:val="1"/>
      <w:numFmt w:val="lowerLetter"/>
      <w:lvlText w:val="%2."/>
      <w:lvlJc w:val="left"/>
      <w:pPr>
        <w:ind w:left="1980" w:hanging="360"/>
      </w:pPr>
    </w:lvl>
    <w:lvl w:ilvl="2" w:tplc="0C0A001B" w:tentative="1">
      <w:start w:val="1"/>
      <w:numFmt w:val="lowerRoman"/>
      <w:lvlText w:val="%3."/>
      <w:lvlJc w:val="right"/>
      <w:pPr>
        <w:ind w:left="2700" w:hanging="180"/>
      </w:pPr>
    </w:lvl>
    <w:lvl w:ilvl="3" w:tplc="0C0A000F" w:tentative="1">
      <w:start w:val="1"/>
      <w:numFmt w:val="decimal"/>
      <w:lvlText w:val="%4."/>
      <w:lvlJc w:val="left"/>
      <w:pPr>
        <w:ind w:left="3420" w:hanging="360"/>
      </w:pPr>
    </w:lvl>
    <w:lvl w:ilvl="4" w:tplc="0C0A0019" w:tentative="1">
      <w:start w:val="1"/>
      <w:numFmt w:val="lowerLetter"/>
      <w:lvlText w:val="%5."/>
      <w:lvlJc w:val="left"/>
      <w:pPr>
        <w:ind w:left="4140" w:hanging="360"/>
      </w:pPr>
    </w:lvl>
    <w:lvl w:ilvl="5" w:tplc="0C0A001B" w:tentative="1">
      <w:start w:val="1"/>
      <w:numFmt w:val="lowerRoman"/>
      <w:lvlText w:val="%6."/>
      <w:lvlJc w:val="right"/>
      <w:pPr>
        <w:ind w:left="4860" w:hanging="180"/>
      </w:pPr>
    </w:lvl>
    <w:lvl w:ilvl="6" w:tplc="0C0A000F" w:tentative="1">
      <w:start w:val="1"/>
      <w:numFmt w:val="decimal"/>
      <w:lvlText w:val="%7."/>
      <w:lvlJc w:val="left"/>
      <w:pPr>
        <w:ind w:left="5580" w:hanging="360"/>
      </w:pPr>
    </w:lvl>
    <w:lvl w:ilvl="7" w:tplc="0C0A0019" w:tentative="1">
      <w:start w:val="1"/>
      <w:numFmt w:val="lowerLetter"/>
      <w:lvlText w:val="%8."/>
      <w:lvlJc w:val="left"/>
      <w:pPr>
        <w:ind w:left="6300" w:hanging="360"/>
      </w:pPr>
    </w:lvl>
    <w:lvl w:ilvl="8" w:tplc="0C0A001B" w:tentative="1">
      <w:start w:val="1"/>
      <w:numFmt w:val="lowerRoman"/>
      <w:lvlText w:val="%9."/>
      <w:lvlJc w:val="right"/>
      <w:pPr>
        <w:ind w:left="7020" w:hanging="180"/>
      </w:pPr>
    </w:lvl>
  </w:abstractNum>
  <w:abstractNum w:abstractNumId="28">
    <w:nsid w:val="6C0B26A6"/>
    <w:multiLevelType w:val="hybridMultilevel"/>
    <w:tmpl w:val="F31C033C"/>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29">
    <w:nsid w:val="6CAE127D"/>
    <w:multiLevelType w:val="hybridMultilevel"/>
    <w:tmpl w:val="13864186"/>
    <w:lvl w:ilvl="0" w:tplc="0C0A0001">
      <w:start w:val="1"/>
      <w:numFmt w:val="bullet"/>
      <w:lvlText w:val=""/>
      <w:lvlJc w:val="left"/>
      <w:pPr>
        <w:ind w:left="3555" w:hanging="360"/>
      </w:pPr>
      <w:rPr>
        <w:rFonts w:ascii="Symbol" w:hAnsi="Symbol" w:hint="default"/>
      </w:rPr>
    </w:lvl>
    <w:lvl w:ilvl="1" w:tplc="0C0A0003" w:tentative="1">
      <w:start w:val="1"/>
      <w:numFmt w:val="bullet"/>
      <w:lvlText w:val="o"/>
      <w:lvlJc w:val="left"/>
      <w:pPr>
        <w:ind w:left="4275" w:hanging="360"/>
      </w:pPr>
      <w:rPr>
        <w:rFonts w:ascii="Courier New" w:hAnsi="Courier New" w:cs="Courier New" w:hint="default"/>
      </w:rPr>
    </w:lvl>
    <w:lvl w:ilvl="2" w:tplc="0C0A0005" w:tentative="1">
      <w:start w:val="1"/>
      <w:numFmt w:val="bullet"/>
      <w:lvlText w:val=""/>
      <w:lvlJc w:val="left"/>
      <w:pPr>
        <w:ind w:left="4995" w:hanging="360"/>
      </w:pPr>
      <w:rPr>
        <w:rFonts w:ascii="Wingdings" w:hAnsi="Wingdings" w:hint="default"/>
      </w:rPr>
    </w:lvl>
    <w:lvl w:ilvl="3" w:tplc="0C0A0001" w:tentative="1">
      <w:start w:val="1"/>
      <w:numFmt w:val="bullet"/>
      <w:lvlText w:val=""/>
      <w:lvlJc w:val="left"/>
      <w:pPr>
        <w:ind w:left="5715" w:hanging="360"/>
      </w:pPr>
      <w:rPr>
        <w:rFonts w:ascii="Symbol" w:hAnsi="Symbol" w:hint="default"/>
      </w:rPr>
    </w:lvl>
    <w:lvl w:ilvl="4" w:tplc="0C0A0003" w:tentative="1">
      <w:start w:val="1"/>
      <w:numFmt w:val="bullet"/>
      <w:lvlText w:val="o"/>
      <w:lvlJc w:val="left"/>
      <w:pPr>
        <w:ind w:left="6435" w:hanging="360"/>
      </w:pPr>
      <w:rPr>
        <w:rFonts w:ascii="Courier New" w:hAnsi="Courier New" w:cs="Courier New" w:hint="default"/>
      </w:rPr>
    </w:lvl>
    <w:lvl w:ilvl="5" w:tplc="0C0A0005" w:tentative="1">
      <w:start w:val="1"/>
      <w:numFmt w:val="bullet"/>
      <w:lvlText w:val=""/>
      <w:lvlJc w:val="left"/>
      <w:pPr>
        <w:ind w:left="7155" w:hanging="360"/>
      </w:pPr>
      <w:rPr>
        <w:rFonts w:ascii="Wingdings" w:hAnsi="Wingdings" w:hint="default"/>
      </w:rPr>
    </w:lvl>
    <w:lvl w:ilvl="6" w:tplc="0C0A0001" w:tentative="1">
      <w:start w:val="1"/>
      <w:numFmt w:val="bullet"/>
      <w:lvlText w:val=""/>
      <w:lvlJc w:val="left"/>
      <w:pPr>
        <w:ind w:left="7875" w:hanging="360"/>
      </w:pPr>
      <w:rPr>
        <w:rFonts w:ascii="Symbol" w:hAnsi="Symbol" w:hint="default"/>
      </w:rPr>
    </w:lvl>
    <w:lvl w:ilvl="7" w:tplc="0C0A0003" w:tentative="1">
      <w:start w:val="1"/>
      <w:numFmt w:val="bullet"/>
      <w:lvlText w:val="o"/>
      <w:lvlJc w:val="left"/>
      <w:pPr>
        <w:ind w:left="8595" w:hanging="360"/>
      </w:pPr>
      <w:rPr>
        <w:rFonts w:ascii="Courier New" w:hAnsi="Courier New" w:cs="Courier New" w:hint="default"/>
      </w:rPr>
    </w:lvl>
    <w:lvl w:ilvl="8" w:tplc="0C0A0005" w:tentative="1">
      <w:start w:val="1"/>
      <w:numFmt w:val="bullet"/>
      <w:lvlText w:val=""/>
      <w:lvlJc w:val="left"/>
      <w:pPr>
        <w:ind w:left="9315" w:hanging="360"/>
      </w:pPr>
      <w:rPr>
        <w:rFonts w:ascii="Wingdings" w:hAnsi="Wingdings" w:hint="default"/>
      </w:rPr>
    </w:lvl>
  </w:abstractNum>
  <w:abstractNum w:abstractNumId="30">
    <w:nsid w:val="6D936F41"/>
    <w:multiLevelType w:val="hybridMultilevel"/>
    <w:tmpl w:val="B8A2C80A"/>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31">
    <w:nsid w:val="711509F2"/>
    <w:multiLevelType w:val="hybridMultilevel"/>
    <w:tmpl w:val="62749104"/>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32">
    <w:nsid w:val="72352AB3"/>
    <w:multiLevelType w:val="hybridMultilevel"/>
    <w:tmpl w:val="ABBE0F94"/>
    <w:lvl w:ilvl="0" w:tplc="FBC8EA4E">
      <w:start w:val="1"/>
      <w:numFmt w:val="decimal"/>
      <w:lvlText w:val="%1."/>
      <w:lvlJc w:val="left"/>
      <w:pPr>
        <w:tabs>
          <w:tab w:val="num" w:pos="360"/>
        </w:tabs>
        <w:ind w:left="360" w:hanging="360"/>
      </w:pPr>
      <w:rPr>
        <w:rFonts w:hint="default"/>
        <w:b/>
      </w:rPr>
    </w:lvl>
    <w:lvl w:ilvl="1" w:tplc="EFC877CA">
      <w:start w:val="1"/>
      <w:numFmt w:val="lowerRoman"/>
      <w:lvlText w:val="(%2)"/>
      <w:lvlJc w:val="left"/>
      <w:pPr>
        <w:tabs>
          <w:tab w:val="num" w:pos="1260"/>
        </w:tabs>
        <w:ind w:left="1260" w:hanging="720"/>
      </w:pPr>
      <w:rPr>
        <w:rFonts w:cs="Tahoma" w:hint="default"/>
        <w:b/>
      </w:rPr>
    </w:lvl>
    <w:lvl w:ilvl="2" w:tplc="0C0A001B" w:tentative="1">
      <w:start w:val="1"/>
      <w:numFmt w:val="lowerRoman"/>
      <w:lvlText w:val="%3."/>
      <w:lvlJc w:val="right"/>
      <w:pPr>
        <w:tabs>
          <w:tab w:val="num" w:pos="1620"/>
        </w:tabs>
        <w:ind w:left="1620" w:hanging="180"/>
      </w:pPr>
    </w:lvl>
    <w:lvl w:ilvl="3" w:tplc="0C0A000F" w:tentative="1">
      <w:start w:val="1"/>
      <w:numFmt w:val="decimal"/>
      <w:lvlText w:val="%4."/>
      <w:lvlJc w:val="left"/>
      <w:pPr>
        <w:tabs>
          <w:tab w:val="num" w:pos="2340"/>
        </w:tabs>
        <w:ind w:left="2340" w:hanging="360"/>
      </w:pPr>
    </w:lvl>
    <w:lvl w:ilvl="4" w:tplc="0C0A0019" w:tentative="1">
      <w:start w:val="1"/>
      <w:numFmt w:val="lowerLetter"/>
      <w:lvlText w:val="%5."/>
      <w:lvlJc w:val="left"/>
      <w:pPr>
        <w:tabs>
          <w:tab w:val="num" w:pos="3060"/>
        </w:tabs>
        <w:ind w:left="3060" w:hanging="360"/>
      </w:pPr>
    </w:lvl>
    <w:lvl w:ilvl="5" w:tplc="0C0A001B" w:tentative="1">
      <w:start w:val="1"/>
      <w:numFmt w:val="lowerRoman"/>
      <w:lvlText w:val="%6."/>
      <w:lvlJc w:val="right"/>
      <w:pPr>
        <w:tabs>
          <w:tab w:val="num" w:pos="3780"/>
        </w:tabs>
        <w:ind w:left="3780" w:hanging="180"/>
      </w:pPr>
    </w:lvl>
    <w:lvl w:ilvl="6" w:tplc="0C0A000F" w:tentative="1">
      <w:start w:val="1"/>
      <w:numFmt w:val="decimal"/>
      <w:lvlText w:val="%7."/>
      <w:lvlJc w:val="left"/>
      <w:pPr>
        <w:tabs>
          <w:tab w:val="num" w:pos="4500"/>
        </w:tabs>
        <w:ind w:left="4500" w:hanging="360"/>
      </w:pPr>
    </w:lvl>
    <w:lvl w:ilvl="7" w:tplc="0C0A0019" w:tentative="1">
      <w:start w:val="1"/>
      <w:numFmt w:val="lowerLetter"/>
      <w:lvlText w:val="%8."/>
      <w:lvlJc w:val="left"/>
      <w:pPr>
        <w:tabs>
          <w:tab w:val="num" w:pos="5220"/>
        </w:tabs>
        <w:ind w:left="5220" w:hanging="360"/>
      </w:pPr>
    </w:lvl>
    <w:lvl w:ilvl="8" w:tplc="0C0A001B" w:tentative="1">
      <w:start w:val="1"/>
      <w:numFmt w:val="lowerRoman"/>
      <w:lvlText w:val="%9."/>
      <w:lvlJc w:val="right"/>
      <w:pPr>
        <w:tabs>
          <w:tab w:val="num" w:pos="5940"/>
        </w:tabs>
        <w:ind w:left="5940" w:hanging="180"/>
      </w:pPr>
    </w:lvl>
  </w:abstractNum>
  <w:abstractNum w:abstractNumId="33">
    <w:nsid w:val="72592285"/>
    <w:multiLevelType w:val="hybridMultilevel"/>
    <w:tmpl w:val="0EA2B140"/>
    <w:lvl w:ilvl="0" w:tplc="0C0A0017">
      <w:start w:val="1"/>
      <w:numFmt w:val="lowerLetter"/>
      <w:lvlText w:val="%1)"/>
      <w:lvlJc w:val="left"/>
      <w:pPr>
        <w:ind w:left="1260" w:hanging="360"/>
      </w:pPr>
    </w:lvl>
    <w:lvl w:ilvl="1" w:tplc="0C0A0019" w:tentative="1">
      <w:start w:val="1"/>
      <w:numFmt w:val="lowerLetter"/>
      <w:lvlText w:val="%2."/>
      <w:lvlJc w:val="left"/>
      <w:pPr>
        <w:ind w:left="1980" w:hanging="360"/>
      </w:pPr>
    </w:lvl>
    <w:lvl w:ilvl="2" w:tplc="0C0A001B" w:tentative="1">
      <w:start w:val="1"/>
      <w:numFmt w:val="lowerRoman"/>
      <w:lvlText w:val="%3."/>
      <w:lvlJc w:val="right"/>
      <w:pPr>
        <w:ind w:left="2700" w:hanging="180"/>
      </w:pPr>
    </w:lvl>
    <w:lvl w:ilvl="3" w:tplc="0C0A000F" w:tentative="1">
      <w:start w:val="1"/>
      <w:numFmt w:val="decimal"/>
      <w:lvlText w:val="%4."/>
      <w:lvlJc w:val="left"/>
      <w:pPr>
        <w:ind w:left="3420" w:hanging="360"/>
      </w:pPr>
    </w:lvl>
    <w:lvl w:ilvl="4" w:tplc="0C0A0019" w:tentative="1">
      <w:start w:val="1"/>
      <w:numFmt w:val="lowerLetter"/>
      <w:lvlText w:val="%5."/>
      <w:lvlJc w:val="left"/>
      <w:pPr>
        <w:ind w:left="4140" w:hanging="360"/>
      </w:pPr>
    </w:lvl>
    <w:lvl w:ilvl="5" w:tplc="0C0A001B" w:tentative="1">
      <w:start w:val="1"/>
      <w:numFmt w:val="lowerRoman"/>
      <w:lvlText w:val="%6."/>
      <w:lvlJc w:val="right"/>
      <w:pPr>
        <w:ind w:left="4860" w:hanging="180"/>
      </w:pPr>
    </w:lvl>
    <w:lvl w:ilvl="6" w:tplc="0C0A000F" w:tentative="1">
      <w:start w:val="1"/>
      <w:numFmt w:val="decimal"/>
      <w:lvlText w:val="%7."/>
      <w:lvlJc w:val="left"/>
      <w:pPr>
        <w:ind w:left="5580" w:hanging="360"/>
      </w:pPr>
    </w:lvl>
    <w:lvl w:ilvl="7" w:tplc="0C0A0019" w:tentative="1">
      <w:start w:val="1"/>
      <w:numFmt w:val="lowerLetter"/>
      <w:lvlText w:val="%8."/>
      <w:lvlJc w:val="left"/>
      <w:pPr>
        <w:ind w:left="6300" w:hanging="360"/>
      </w:pPr>
    </w:lvl>
    <w:lvl w:ilvl="8" w:tplc="0C0A001B" w:tentative="1">
      <w:start w:val="1"/>
      <w:numFmt w:val="lowerRoman"/>
      <w:lvlText w:val="%9."/>
      <w:lvlJc w:val="right"/>
      <w:pPr>
        <w:ind w:left="7020" w:hanging="180"/>
      </w:pPr>
    </w:lvl>
  </w:abstractNum>
  <w:abstractNum w:abstractNumId="34">
    <w:nsid w:val="771F2D4A"/>
    <w:multiLevelType w:val="hybridMultilevel"/>
    <w:tmpl w:val="4AB21E36"/>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35">
    <w:nsid w:val="77680FD4"/>
    <w:multiLevelType w:val="hybridMultilevel"/>
    <w:tmpl w:val="E920EE5E"/>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36">
    <w:nsid w:val="7C2B618A"/>
    <w:multiLevelType w:val="hybridMultilevel"/>
    <w:tmpl w:val="47DE83BC"/>
    <w:lvl w:ilvl="0" w:tplc="280A0017">
      <w:start w:val="1"/>
      <w:numFmt w:val="lowerLetter"/>
      <w:lvlText w:val="%1)"/>
      <w:lvlJc w:val="left"/>
      <w:pPr>
        <w:ind w:left="1287" w:hanging="360"/>
      </w:pPr>
      <w:rPr>
        <w:rFonts w:cs="Times New Roman"/>
      </w:rPr>
    </w:lvl>
    <w:lvl w:ilvl="1" w:tplc="0C0A0019" w:tentative="1">
      <w:start w:val="1"/>
      <w:numFmt w:val="lowerLetter"/>
      <w:lvlText w:val="%2."/>
      <w:lvlJc w:val="left"/>
      <w:pPr>
        <w:ind w:left="2007" w:hanging="360"/>
      </w:pPr>
      <w:rPr>
        <w:rFonts w:cs="Times New Roman"/>
      </w:rPr>
    </w:lvl>
    <w:lvl w:ilvl="2" w:tplc="0C0A001B" w:tentative="1">
      <w:start w:val="1"/>
      <w:numFmt w:val="lowerRoman"/>
      <w:lvlText w:val="%3."/>
      <w:lvlJc w:val="right"/>
      <w:pPr>
        <w:ind w:left="2727" w:hanging="180"/>
      </w:pPr>
      <w:rPr>
        <w:rFonts w:cs="Times New Roman"/>
      </w:rPr>
    </w:lvl>
    <w:lvl w:ilvl="3" w:tplc="0C0A000F" w:tentative="1">
      <w:start w:val="1"/>
      <w:numFmt w:val="decimal"/>
      <w:lvlText w:val="%4."/>
      <w:lvlJc w:val="left"/>
      <w:pPr>
        <w:ind w:left="3447" w:hanging="360"/>
      </w:pPr>
      <w:rPr>
        <w:rFonts w:cs="Times New Roman"/>
      </w:rPr>
    </w:lvl>
    <w:lvl w:ilvl="4" w:tplc="0C0A0019" w:tentative="1">
      <w:start w:val="1"/>
      <w:numFmt w:val="lowerLetter"/>
      <w:lvlText w:val="%5."/>
      <w:lvlJc w:val="left"/>
      <w:pPr>
        <w:ind w:left="4167" w:hanging="360"/>
      </w:pPr>
      <w:rPr>
        <w:rFonts w:cs="Times New Roman"/>
      </w:rPr>
    </w:lvl>
    <w:lvl w:ilvl="5" w:tplc="0C0A001B" w:tentative="1">
      <w:start w:val="1"/>
      <w:numFmt w:val="lowerRoman"/>
      <w:lvlText w:val="%6."/>
      <w:lvlJc w:val="right"/>
      <w:pPr>
        <w:ind w:left="4887" w:hanging="180"/>
      </w:pPr>
      <w:rPr>
        <w:rFonts w:cs="Times New Roman"/>
      </w:rPr>
    </w:lvl>
    <w:lvl w:ilvl="6" w:tplc="0C0A000F" w:tentative="1">
      <w:start w:val="1"/>
      <w:numFmt w:val="decimal"/>
      <w:lvlText w:val="%7."/>
      <w:lvlJc w:val="left"/>
      <w:pPr>
        <w:ind w:left="5607" w:hanging="360"/>
      </w:pPr>
      <w:rPr>
        <w:rFonts w:cs="Times New Roman"/>
      </w:rPr>
    </w:lvl>
    <w:lvl w:ilvl="7" w:tplc="0C0A0019" w:tentative="1">
      <w:start w:val="1"/>
      <w:numFmt w:val="lowerLetter"/>
      <w:lvlText w:val="%8."/>
      <w:lvlJc w:val="left"/>
      <w:pPr>
        <w:ind w:left="6327" w:hanging="360"/>
      </w:pPr>
      <w:rPr>
        <w:rFonts w:cs="Times New Roman"/>
      </w:rPr>
    </w:lvl>
    <w:lvl w:ilvl="8" w:tplc="0C0A001B" w:tentative="1">
      <w:start w:val="1"/>
      <w:numFmt w:val="lowerRoman"/>
      <w:lvlText w:val="%9."/>
      <w:lvlJc w:val="right"/>
      <w:pPr>
        <w:ind w:left="7047" w:hanging="180"/>
      </w:pPr>
      <w:rPr>
        <w:rFonts w:cs="Times New Roman"/>
      </w:rPr>
    </w:lvl>
  </w:abstractNum>
  <w:abstractNum w:abstractNumId="37">
    <w:nsid w:val="7E530DF7"/>
    <w:multiLevelType w:val="multilevel"/>
    <w:tmpl w:val="BE0A1F1E"/>
    <w:lvl w:ilvl="0">
      <w:start w:val="1"/>
      <w:numFmt w:val="decimal"/>
      <w:lvlText w:val="%1."/>
      <w:lvlJc w:val="left"/>
      <w:pPr>
        <w:ind w:left="927" w:hanging="360"/>
      </w:pPr>
      <w:rPr>
        <w:rFonts w:hint="default"/>
      </w:rPr>
    </w:lvl>
    <w:lvl w:ilvl="1">
      <w:start w:val="1"/>
      <w:numFmt w:val="decimal"/>
      <w:isLgl/>
      <w:lvlText w:val="%1.%2"/>
      <w:lvlJc w:val="left"/>
      <w:pPr>
        <w:ind w:left="1647" w:hanging="72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727" w:hanging="108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527" w:hanging="1800"/>
      </w:pPr>
      <w:rPr>
        <w:rFonts w:hint="default"/>
      </w:rPr>
    </w:lvl>
    <w:lvl w:ilvl="7">
      <w:start w:val="1"/>
      <w:numFmt w:val="decimal"/>
      <w:isLgl/>
      <w:lvlText w:val="%1.%2.%3.%4.%5.%6.%7.%8"/>
      <w:lvlJc w:val="left"/>
      <w:pPr>
        <w:ind w:left="4887" w:hanging="1800"/>
      </w:pPr>
      <w:rPr>
        <w:rFonts w:hint="default"/>
      </w:rPr>
    </w:lvl>
    <w:lvl w:ilvl="8">
      <w:start w:val="1"/>
      <w:numFmt w:val="decimal"/>
      <w:isLgl/>
      <w:lvlText w:val="%1.%2.%3.%4.%5.%6.%7.%8.%9"/>
      <w:lvlJc w:val="left"/>
      <w:pPr>
        <w:ind w:left="5607" w:hanging="2160"/>
      </w:pPr>
      <w:rPr>
        <w:rFonts w:hint="default"/>
      </w:rPr>
    </w:lvl>
  </w:abstractNum>
  <w:num w:numId="1">
    <w:abstractNumId w:val="24"/>
  </w:num>
  <w:num w:numId="2">
    <w:abstractNumId w:val="23"/>
  </w:num>
  <w:num w:numId="3">
    <w:abstractNumId w:val="32"/>
  </w:num>
  <w:num w:numId="4">
    <w:abstractNumId w:val="4"/>
  </w:num>
  <w:num w:numId="5">
    <w:abstractNumId w:val="9"/>
  </w:num>
  <w:num w:numId="6">
    <w:abstractNumId w:val="13"/>
  </w:num>
  <w:num w:numId="7">
    <w:abstractNumId w:val="17"/>
  </w:num>
  <w:num w:numId="8">
    <w:abstractNumId w:val="0"/>
  </w:num>
  <w:num w:numId="9">
    <w:abstractNumId w:val="12"/>
  </w:num>
  <w:num w:numId="10">
    <w:abstractNumId w:val="16"/>
  </w:num>
  <w:num w:numId="11">
    <w:abstractNumId w:val="36"/>
  </w:num>
  <w:num w:numId="12">
    <w:abstractNumId w:val="19"/>
  </w:num>
  <w:num w:numId="13">
    <w:abstractNumId w:val="1"/>
  </w:num>
  <w:num w:numId="14">
    <w:abstractNumId w:val="20"/>
  </w:num>
  <w:num w:numId="15">
    <w:abstractNumId w:val="28"/>
  </w:num>
  <w:num w:numId="16">
    <w:abstractNumId w:val="25"/>
  </w:num>
  <w:num w:numId="17">
    <w:abstractNumId w:val="18"/>
  </w:num>
  <w:num w:numId="18">
    <w:abstractNumId w:val="21"/>
  </w:num>
  <w:num w:numId="19">
    <w:abstractNumId w:val="3"/>
  </w:num>
  <w:num w:numId="20">
    <w:abstractNumId w:val="11"/>
  </w:num>
  <w:num w:numId="21">
    <w:abstractNumId w:val="22"/>
  </w:num>
  <w:num w:numId="22">
    <w:abstractNumId w:val="6"/>
  </w:num>
  <w:num w:numId="23">
    <w:abstractNumId w:val="34"/>
  </w:num>
  <w:num w:numId="24">
    <w:abstractNumId w:val="30"/>
  </w:num>
  <w:num w:numId="25">
    <w:abstractNumId w:val="35"/>
  </w:num>
  <w:num w:numId="26">
    <w:abstractNumId w:val="7"/>
  </w:num>
  <w:num w:numId="27">
    <w:abstractNumId w:val="31"/>
  </w:num>
  <w:num w:numId="28">
    <w:abstractNumId w:val="15"/>
  </w:num>
  <w:num w:numId="29">
    <w:abstractNumId w:val="14"/>
  </w:num>
  <w:num w:numId="30">
    <w:abstractNumId w:val="33"/>
  </w:num>
  <w:num w:numId="31">
    <w:abstractNumId w:val="26"/>
  </w:num>
  <w:num w:numId="32">
    <w:abstractNumId w:val="27"/>
  </w:num>
  <w:num w:numId="33">
    <w:abstractNumId w:val="2"/>
  </w:num>
  <w:num w:numId="34">
    <w:abstractNumId w:val="10"/>
  </w:num>
  <w:num w:numId="35">
    <w:abstractNumId w:val="29"/>
  </w:num>
  <w:num w:numId="36">
    <w:abstractNumId w:val="5"/>
  </w:num>
  <w:num w:numId="37">
    <w:abstractNumId w:val="37"/>
  </w:num>
  <w:num w:numId="38">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hdrShapeDefaults>
    <o:shapedefaults v:ext="edit" spidmax="4098"/>
  </w:hdrShapeDefaults>
  <w:footnotePr>
    <w:footnote w:id="0"/>
    <w:footnote w:id="1"/>
  </w:footnotePr>
  <w:endnotePr>
    <w:endnote w:id="0"/>
    <w:endnote w:id="1"/>
  </w:endnotePr>
  <w:compat/>
  <w:rsids>
    <w:rsidRoot w:val="002E78D8"/>
    <w:rsid w:val="000B3FF2"/>
    <w:rsid w:val="00287BDB"/>
    <w:rsid w:val="002E78D8"/>
    <w:rsid w:val="004C26BC"/>
    <w:rsid w:val="005F0E2E"/>
    <w:rsid w:val="006647E9"/>
    <w:rsid w:val="006A417C"/>
    <w:rsid w:val="007234C9"/>
    <w:rsid w:val="009042C5"/>
    <w:rsid w:val="009A5A64"/>
    <w:rsid w:val="00D01115"/>
    <w:rsid w:val="00D04D0A"/>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78D8"/>
    <w:rPr>
      <w:rFonts w:ascii="Times New Roman" w:eastAsia="Times New Roman" w:hAnsi="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rsid w:val="002E78D8"/>
    <w:pPr>
      <w:widowControl w:val="0"/>
      <w:tabs>
        <w:tab w:val="center" w:pos="4252"/>
        <w:tab w:val="right" w:pos="8504"/>
      </w:tabs>
      <w:suppressAutoHyphens/>
    </w:pPr>
    <w:rPr>
      <w:sz w:val="24"/>
      <w:lang w:val="es-ES_tradnl"/>
    </w:rPr>
  </w:style>
  <w:style w:type="character" w:customStyle="1" w:styleId="PiedepginaCar">
    <w:name w:val="Pie de página Car"/>
    <w:basedOn w:val="Fuentedeprrafopredeter"/>
    <w:link w:val="Piedepgina"/>
    <w:uiPriority w:val="99"/>
    <w:rsid w:val="002E78D8"/>
    <w:rPr>
      <w:rFonts w:ascii="Times New Roman" w:eastAsia="Times New Roman" w:hAnsi="Times New Roman" w:cs="Times New Roman"/>
      <w:sz w:val="24"/>
      <w:szCs w:val="20"/>
      <w:lang w:val="es-ES_tradnl" w:eastAsia="es-ES"/>
    </w:rPr>
  </w:style>
  <w:style w:type="character" w:styleId="Nmerodepgina">
    <w:name w:val="page number"/>
    <w:basedOn w:val="Fuentedeprrafopredeter"/>
    <w:rsid w:val="002E78D8"/>
  </w:style>
  <w:style w:type="paragraph" w:styleId="Textoindependiente">
    <w:name w:val="Body Text"/>
    <w:basedOn w:val="Normal"/>
    <w:link w:val="TextoindependienteCar"/>
    <w:rsid w:val="002E78D8"/>
    <w:pPr>
      <w:widowControl w:val="0"/>
      <w:suppressAutoHyphens/>
      <w:jc w:val="both"/>
    </w:pPr>
    <w:rPr>
      <w:rFonts w:ascii="Tahoma" w:hAnsi="Tahoma"/>
      <w:sz w:val="22"/>
      <w:lang w:val="es-ES_tradnl"/>
    </w:rPr>
  </w:style>
  <w:style w:type="character" w:customStyle="1" w:styleId="TextoindependienteCar">
    <w:name w:val="Texto independiente Car"/>
    <w:basedOn w:val="Fuentedeprrafopredeter"/>
    <w:link w:val="Textoindependiente"/>
    <w:rsid w:val="002E78D8"/>
    <w:rPr>
      <w:rFonts w:ascii="Tahoma" w:eastAsia="Times New Roman" w:hAnsi="Tahoma" w:cs="Times New Roman"/>
      <w:szCs w:val="20"/>
      <w:lang w:val="es-ES_tradnl" w:eastAsia="es-ES"/>
    </w:rPr>
  </w:style>
  <w:style w:type="paragraph" w:customStyle="1" w:styleId="Textoindependiente21">
    <w:name w:val="Texto independiente 21"/>
    <w:basedOn w:val="Normal"/>
    <w:rsid w:val="002E78D8"/>
    <w:pPr>
      <w:jc w:val="both"/>
    </w:pPr>
    <w:rPr>
      <w:rFonts w:ascii="Tahoma" w:hAnsi="Tahoma"/>
      <w:sz w:val="22"/>
    </w:rPr>
  </w:style>
  <w:style w:type="paragraph" w:styleId="Textoindependiente3">
    <w:name w:val="Body Text 3"/>
    <w:basedOn w:val="Normal"/>
    <w:link w:val="Textoindependiente3Car"/>
    <w:rsid w:val="002E78D8"/>
    <w:pPr>
      <w:spacing w:after="120"/>
    </w:pPr>
    <w:rPr>
      <w:sz w:val="16"/>
      <w:szCs w:val="16"/>
      <w:lang w:val="es-PE"/>
    </w:rPr>
  </w:style>
  <w:style w:type="character" w:customStyle="1" w:styleId="Textoindependiente3Car">
    <w:name w:val="Texto independiente 3 Car"/>
    <w:basedOn w:val="Fuentedeprrafopredeter"/>
    <w:link w:val="Textoindependiente3"/>
    <w:rsid w:val="002E78D8"/>
    <w:rPr>
      <w:rFonts w:ascii="Times New Roman" w:eastAsia="Times New Roman" w:hAnsi="Times New Roman" w:cs="Times New Roman"/>
      <w:sz w:val="16"/>
      <w:szCs w:val="16"/>
      <w:lang w:val="es-PE" w:eastAsia="es-ES"/>
    </w:rPr>
  </w:style>
  <w:style w:type="paragraph" w:styleId="Textonotapie">
    <w:name w:val="footnote text"/>
    <w:aliases w:val=" Car,Car, Car2 Car Car Car Car Car, Car2 Car Car, Car2 Car Car Car Car Car Car, Car2 Car1 Car, Car Car Car, Car1 Car, Car2 Car, Car2, Car1,Car1 Car Car, Car4,Car Car Car,Car4,Texto nota pie1,Body Text,Car Car1, Car3,Ca,Car2 Car Car"/>
    <w:basedOn w:val="Normal"/>
    <w:link w:val="TextonotapieCar"/>
    <w:rsid w:val="002E78D8"/>
  </w:style>
  <w:style w:type="character" w:customStyle="1" w:styleId="TextonotapieCar">
    <w:name w:val="Texto nota pie Car"/>
    <w:aliases w:val=" Car Car,Car Car, Car2 Car Car Car Car Car Car1, Car2 Car Car Car, Car2 Car Car Car Car Car Car Car, Car2 Car1 Car Car, Car Car Car Car, Car1 Car Car, Car2 Car Car1, Car2 Car1, Car1 Car1,Car1 Car Car Car, Car4 Car,Car Car Car Car"/>
    <w:basedOn w:val="Fuentedeprrafopredeter"/>
    <w:link w:val="Textonotapie"/>
    <w:rsid w:val="002E78D8"/>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2E78D8"/>
    <w:rPr>
      <w:vertAlign w:val="superscript"/>
    </w:rPr>
  </w:style>
  <w:style w:type="paragraph" w:styleId="Sangradetextonormal">
    <w:name w:val="Body Text Indent"/>
    <w:basedOn w:val="Normal"/>
    <w:link w:val="SangradetextonormalCar"/>
    <w:rsid w:val="002E78D8"/>
    <w:pPr>
      <w:spacing w:after="120"/>
      <w:ind w:left="283"/>
    </w:pPr>
  </w:style>
  <w:style w:type="character" w:customStyle="1" w:styleId="SangradetextonormalCar">
    <w:name w:val="Sangría de texto normal Car"/>
    <w:basedOn w:val="Fuentedeprrafopredeter"/>
    <w:link w:val="Sangradetextonormal"/>
    <w:rsid w:val="002E78D8"/>
    <w:rPr>
      <w:rFonts w:ascii="Times New Roman" w:eastAsia="Times New Roman" w:hAnsi="Times New Roman" w:cs="Times New Roman"/>
      <w:sz w:val="20"/>
      <w:szCs w:val="20"/>
      <w:lang w:eastAsia="es-ES"/>
    </w:rPr>
  </w:style>
  <w:style w:type="paragraph" w:styleId="Prrafodelista">
    <w:name w:val="List Paragraph"/>
    <w:basedOn w:val="Normal"/>
    <w:uiPriority w:val="34"/>
    <w:qFormat/>
    <w:rsid w:val="002E78D8"/>
    <w:pPr>
      <w:ind w:left="708"/>
    </w:pPr>
    <w:rPr>
      <w:lang w:eastAsia="es-PE"/>
    </w:rPr>
  </w:style>
  <w:style w:type="table" w:styleId="Tablaconcuadrcula">
    <w:name w:val="Table Grid"/>
    <w:basedOn w:val="Tablanormal"/>
    <w:uiPriority w:val="59"/>
    <w:rsid w:val="002E78D8"/>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7">
    <w:name w:val="Pa7"/>
    <w:basedOn w:val="Normal"/>
    <w:next w:val="Normal"/>
    <w:uiPriority w:val="99"/>
    <w:rsid w:val="002E78D8"/>
    <w:pPr>
      <w:autoSpaceDE w:val="0"/>
      <w:autoSpaceDN w:val="0"/>
      <w:adjustRightInd w:val="0"/>
      <w:spacing w:line="181" w:lineRule="atLeast"/>
    </w:pPr>
    <w:rPr>
      <w:rFonts w:ascii="Humnst777 BT" w:hAnsi="Humnst777 BT"/>
      <w:sz w:val="24"/>
      <w:szCs w:val="24"/>
      <w:lang w:val="es-PE" w:eastAsia="es-PE"/>
    </w:rPr>
  </w:style>
  <w:style w:type="paragraph" w:customStyle="1" w:styleId="Pa4">
    <w:name w:val="Pa4"/>
    <w:basedOn w:val="Normal"/>
    <w:next w:val="Normal"/>
    <w:uiPriority w:val="99"/>
    <w:rsid w:val="002E78D8"/>
    <w:pPr>
      <w:autoSpaceDE w:val="0"/>
      <w:autoSpaceDN w:val="0"/>
      <w:adjustRightInd w:val="0"/>
      <w:spacing w:line="181" w:lineRule="atLeast"/>
    </w:pPr>
    <w:rPr>
      <w:rFonts w:ascii="Humnst777 BT" w:hAnsi="Humnst777 BT"/>
      <w:sz w:val="24"/>
      <w:szCs w:val="24"/>
      <w:lang w:val="es-PE" w:eastAsia="es-PE"/>
    </w:rPr>
  </w:style>
  <w:style w:type="paragraph" w:customStyle="1" w:styleId="Prrafodelista1">
    <w:name w:val="Párrafo de lista1"/>
    <w:basedOn w:val="Normal"/>
    <w:uiPriority w:val="99"/>
    <w:rsid w:val="002E78D8"/>
    <w:pPr>
      <w:widowControl w:val="0"/>
      <w:suppressAutoHyphens/>
      <w:ind w:left="720"/>
    </w:pPr>
    <w:rPr>
      <w:rFonts w:eastAsia="Calibri"/>
      <w:sz w:val="24"/>
      <w:lang w:val="es-ES_tradnl"/>
    </w:rPr>
  </w:style>
  <w:style w:type="paragraph" w:customStyle="1" w:styleId="Prrafodelista2">
    <w:name w:val="Párrafo de lista2"/>
    <w:basedOn w:val="Normal"/>
    <w:rsid w:val="002E78D8"/>
    <w:pPr>
      <w:widowControl w:val="0"/>
      <w:suppressAutoHyphens/>
      <w:ind w:left="720"/>
    </w:pPr>
    <w:rPr>
      <w:rFonts w:eastAsia="Calibri"/>
      <w:sz w:val="24"/>
      <w:lang w:val="es-ES_tradnl"/>
    </w:rPr>
  </w:style>
  <w:style w:type="paragraph" w:customStyle="1" w:styleId="WW-Textosinformato">
    <w:name w:val="WW-Texto sin formato"/>
    <w:basedOn w:val="Normal"/>
    <w:rsid w:val="002E78D8"/>
    <w:pPr>
      <w:suppressAutoHyphens/>
    </w:pPr>
    <w:rPr>
      <w:rFonts w:ascii="Courier New" w:eastAsia="MS Mincho" w:hAnsi="Courier New"/>
      <w:lang w:val="es-PE"/>
    </w:rPr>
  </w:style>
  <w:style w:type="paragraph" w:customStyle="1" w:styleId="BodyTextIndent31">
    <w:name w:val="Body Text Indent 31"/>
    <w:basedOn w:val="Normal"/>
    <w:rsid w:val="002E78D8"/>
    <w:pPr>
      <w:widowControl w:val="0"/>
      <w:ind w:left="709"/>
      <w:jc w:val="both"/>
    </w:pPr>
    <w:rPr>
      <w:rFonts w:eastAsia="MS Mincho"/>
      <w:sz w:val="24"/>
      <w:lang w:val="es-PE"/>
    </w:rPr>
  </w:style>
  <w:style w:type="paragraph" w:styleId="Sangra3detindependiente">
    <w:name w:val="Body Text Indent 3"/>
    <w:basedOn w:val="Normal"/>
    <w:link w:val="Sangra3detindependienteCar"/>
    <w:uiPriority w:val="99"/>
    <w:semiHidden/>
    <w:unhideWhenUsed/>
    <w:rsid w:val="002E78D8"/>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semiHidden/>
    <w:rsid w:val="002E78D8"/>
    <w:rPr>
      <w:rFonts w:ascii="Times New Roman" w:eastAsia="Times New Roman" w:hAnsi="Times New Roman" w:cs="Times New Roman"/>
      <w:sz w:val="16"/>
      <w:szCs w:val="16"/>
      <w:lang w:eastAsia="es-ES"/>
    </w:rPr>
  </w:style>
  <w:style w:type="paragraph" w:styleId="Textodeglobo">
    <w:name w:val="Balloon Text"/>
    <w:basedOn w:val="Normal"/>
    <w:link w:val="TextodegloboCar"/>
    <w:uiPriority w:val="99"/>
    <w:semiHidden/>
    <w:unhideWhenUsed/>
    <w:rsid w:val="002E78D8"/>
    <w:rPr>
      <w:rFonts w:ascii="Tahoma" w:hAnsi="Tahoma" w:cs="Tahoma"/>
      <w:sz w:val="16"/>
      <w:szCs w:val="16"/>
    </w:rPr>
  </w:style>
  <w:style w:type="character" w:customStyle="1" w:styleId="TextodegloboCar">
    <w:name w:val="Texto de globo Car"/>
    <w:basedOn w:val="Fuentedeprrafopredeter"/>
    <w:link w:val="Textodeglobo"/>
    <w:uiPriority w:val="99"/>
    <w:semiHidden/>
    <w:rsid w:val="002E78D8"/>
    <w:rPr>
      <w:rFonts w:ascii="Tahoma" w:eastAsia="Times New Roman" w:hAnsi="Tahoma" w:cs="Tahoma"/>
      <w:sz w:val="16"/>
      <w:szCs w:val="16"/>
      <w:lang w:eastAsia="es-ES"/>
    </w:rPr>
  </w:style>
  <w:style w:type="paragraph" w:styleId="Encabezado">
    <w:name w:val="header"/>
    <w:aliases w:val="maria,h"/>
    <w:basedOn w:val="Normal"/>
    <w:link w:val="EncabezadoCar"/>
    <w:uiPriority w:val="99"/>
    <w:semiHidden/>
    <w:unhideWhenUsed/>
    <w:rsid w:val="00D01115"/>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D01115"/>
    <w:rPr>
      <w:rFonts w:ascii="Times New Roman" w:eastAsia="Times New Roman" w:hAnsi="Times New Roman" w:cs="Times New Roman"/>
      <w:sz w:val="20"/>
      <w:szCs w:val="20"/>
      <w:lang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48</Pages>
  <Words>18548</Words>
  <Characters>102020</Characters>
  <Application>Microsoft Office Word</Application>
  <DocSecurity>4</DocSecurity>
  <Lines>850</Lines>
  <Paragraphs>240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120328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jtorrico</dc:creator>
  <cp:keywords/>
  <dc:description/>
  <cp:lastModifiedBy>bcaceres</cp:lastModifiedBy>
  <cp:revision>2</cp:revision>
  <cp:lastPrinted>2011-04-07T14:50:00Z</cp:lastPrinted>
  <dcterms:created xsi:type="dcterms:W3CDTF">2011-05-09T15:11:00Z</dcterms:created>
  <dcterms:modified xsi:type="dcterms:W3CDTF">2011-05-09T15:11:00Z</dcterms:modified>
</cp:coreProperties>
</file>